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9CFD8" w14:textId="3AD43668" w:rsidR="00340A0F" w:rsidRPr="00BE726D" w:rsidRDefault="00BE726D" w:rsidP="00311961">
      <w:pPr>
        <w:pStyle w:val="Heading1"/>
        <w:rPr>
          <w:noProof/>
          <w:color w:val="7EB1E6" w:themeColor="accent3" w:themeTint="99"/>
          <w:sz w:val="2"/>
          <w:szCs w:val="2"/>
        </w:rPr>
      </w:pPr>
      <w:bookmarkStart w:id="0" w:name="_Toc212119642"/>
      <w:bookmarkStart w:id="1" w:name="_Toc213421216"/>
      <w:r w:rsidRPr="00BE726D">
        <w:rPr>
          <w:noProof/>
          <w:color w:val="3F426F"/>
          <w:sz w:val="96"/>
          <w:szCs w:val="96"/>
        </w:rPr>
        <w:drawing>
          <wp:anchor distT="0" distB="0" distL="114300" distR="114300" simplePos="0" relativeHeight="251829760" behindDoc="0" locked="0" layoutInCell="1" allowOverlap="1" wp14:anchorId="7A0E9769" wp14:editId="01CC2950">
            <wp:simplePos x="0" y="0"/>
            <wp:positionH relativeFrom="margin">
              <wp:posOffset>-914400</wp:posOffset>
            </wp:positionH>
            <wp:positionV relativeFrom="margin">
              <wp:posOffset>-923925</wp:posOffset>
            </wp:positionV>
            <wp:extent cx="7821295" cy="10078085"/>
            <wp:effectExtent l="76200" t="95250" r="141605" b="132715"/>
            <wp:wrapNone/>
            <wp:docPr id="1727492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9262" name="Picture 47"/>
                    <pic:cNvPicPr/>
                  </pic:nvPicPr>
                  <pic:blipFill>
                    <a:blip r:embed="rId8">
                      <a:extLst>
                        <a:ext uri="{28A0092B-C50C-407E-A947-70E740481C1C}">
                          <a14:useLocalDpi xmlns:a14="http://schemas.microsoft.com/office/drawing/2010/main" val="0"/>
                        </a:ext>
                      </a:extLst>
                    </a:blip>
                    <a:stretch>
                      <a:fillRect/>
                    </a:stretch>
                  </pic:blipFill>
                  <pic:spPr>
                    <a:xfrm>
                      <a:off x="0" y="0"/>
                      <a:ext cx="7821295" cy="10078085"/>
                    </a:xfrm>
                    <a:prstGeom prst="rect">
                      <a:avLst/>
                    </a:prstGeom>
                    <a:solidFill>
                      <a:srgbClr val="FFFFFF">
                        <a:shade val="85000"/>
                      </a:srgbClr>
                    </a:solidFill>
                    <a:ln w="28575"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25D6" w:rsidRPr="00BE726D">
        <w:rPr>
          <w:noProof/>
          <w:color w:val="7EB1E6" w:themeColor="accent3" w:themeTint="99"/>
          <w:sz w:val="2"/>
          <w:szCs w:val="2"/>
        </w:rPr>
        <w:t>Report Cover</w:t>
      </w:r>
      <w:bookmarkEnd w:id="0"/>
      <w:bookmarkEnd w:id="1"/>
      <w:r w:rsidR="00555377" w:rsidRPr="00BE726D" w:rsidDel="00555377">
        <w:rPr>
          <w:noProof/>
          <w:color w:val="7EB1E6" w:themeColor="accent3" w:themeTint="99"/>
          <w:sz w:val="2"/>
          <w:szCs w:val="2"/>
        </w:rPr>
        <w:t xml:space="preserve"> </w:t>
      </w:r>
    </w:p>
    <w:p w14:paraId="5C5A7D76" w14:textId="20B62033" w:rsidR="00BE726D" w:rsidRDefault="00BE726D">
      <w:pPr>
        <w:rPr>
          <w:rFonts w:ascii="Cambria" w:hAnsi="Cambria"/>
          <w:noProof/>
          <w:sz w:val="24"/>
          <w:szCs w:val="24"/>
        </w:rPr>
      </w:pPr>
      <w:r w:rsidRPr="00271EF8">
        <w:rPr>
          <w:noProof/>
          <w:sz w:val="220"/>
          <w:szCs w:val="220"/>
        </w:rPr>
        <mc:AlternateContent>
          <mc:Choice Requires="wps">
            <w:drawing>
              <wp:anchor distT="0" distB="0" distL="114300" distR="114300" simplePos="0" relativeHeight="252212736" behindDoc="0" locked="0" layoutInCell="1" allowOverlap="1" wp14:anchorId="5CBBFA94" wp14:editId="39D0C468">
                <wp:simplePos x="0" y="0"/>
                <wp:positionH relativeFrom="page">
                  <wp:posOffset>0</wp:posOffset>
                </wp:positionH>
                <wp:positionV relativeFrom="page">
                  <wp:posOffset>7753350</wp:posOffset>
                </wp:positionV>
                <wp:extent cx="7725410" cy="2076450"/>
                <wp:effectExtent l="57150" t="57150" r="123190" b="114300"/>
                <wp:wrapNone/>
                <wp:docPr id="1346980033" name="Text Box 8"/>
                <wp:cNvGraphicFramePr/>
                <a:graphic xmlns:a="http://schemas.openxmlformats.org/drawingml/2006/main">
                  <a:graphicData uri="http://schemas.microsoft.com/office/word/2010/wordprocessingShape">
                    <wps:wsp>
                      <wps:cNvSpPr txBox="1"/>
                      <wps:spPr>
                        <a:xfrm>
                          <a:off x="0" y="0"/>
                          <a:ext cx="7725410" cy="2076450"/>
                        </a:xfrm>
                        <a:prstGeom prst="rect">
                          <a:avLst/>
                        </a:prstGeom>
                        <a:noFill/>
                        <a:ln w="38100">
                          <a:solidFill>
                            <a:schemeClr val="accent1">
                              <a:lumMod val="50000"/>
                            </a:schemeClr>
                          </a:solidFill>
                        </a:ln>
                        <a:effectLst>
                          <a:outerShdw blurRad="50800" dist="38100" dir="2700000" algn="tl" rotWithShape="0">
                            <a:prstClr val="black">
                              <a:alpha val="40000"/>
                            </a:prstClr>
                          </a:outerShdw>
                        </a:effectLst>
                      </wps:spPr>
                      <wps:txbx>
                        <w:txbxContent>
                          <w:p w14:paraId="602D9AA3" w14:textId="77777777" w:rsidR="00A90B33" w:rsidRPr="00BE726D" w:rsidRDefault="00A90B33" w:rsidP="00A90B33">
                            <w:pPr>
                              <w:jc w:val="center"/>
                              <w:rPr>
                                <w:rFonts w:ascii="Cambria" w:hAnsi="Cambria"/>
                                <w:b/>
                                <w:bCs/>
                                <w:smallCaps/>
                                <w:color w:val="FFFFFF" w:themeColor="background1"/>
                                <w:sz w:val="48"/>
                                <w:szCs w:val="48"/>
                              </w:rPr>
                            </w:pPr>
                            <w:r w:rsidRPr="00BE726D">
                              <w:rPr>
                                <w:rFonts w:ascii="Cambria" w:hAnsi="Cambria"/>
                                <w:b/>
                                <w:bCs/>
                                <w:smallCaps/>
                                <w:color w:val="FFFFFF" w:themeColor="background1"/>
                                <w:sz w:val="48"/>
                                <w:szCs w:val="48"/>
                              </w:rPr>
                              <w:t>The Privacy and Civil Liberties Oversight Board</w:t>
                            </w:r>
                          </w:p>
                          <w:p w14:paraId="509259A6" w14:textId="064FC973" w:rsidR="00A90B33" w:rsidRPr="00BE726D" w:rsidRDefault="00A90B33" w:rsidP="00A90B33">
                            <w:pPr>
                              <w:jc w:val="center"/>
                              <w:rPr>
                                <w:rFonts w:ascii="Cambria" w:hAnsi="Cambria"/>
                                <w:b/>
                                <w:bCs/>
                                <w:smallCaps/>
                                <w:color w:val="FFFFFF" w:themeColor="background1"/>
                                <w:sz w:val="60"/>
                                <w:szCs w:val="60"/>
                              </w:rPr>
                            </w:pPr>
                            <w:r w:rsidRPr="00BE726D">
                              <w:rPr>
                                <w:rFonts w:ascii="Cambria" w:hAnsi="Cambria"/>
                                <w:b/>
                                <w:bCs/>
                                <w:smallCaps/>
                                <w:color w:val="FFFFFF" w:themeColor="background1"/>
                                <w:sz w:val="60"/>
                                <w:szCs w:val="60"/>
                              </w:rPr>
                              <w:t>Agency Financial Report</w:t>
                            </w:r>
                          </w:p>
                          <w:p w14:paraId="19860781" w14:textId="783C7646" w:rsidR="00A90B33" w:rsidRPr="00BE726D" w:rsidRDefault="00A90B33" w:rsidP="00A90B33">
                            <w:pPr>
                              <w:jc w:val="center"/>
                              <w:rPr>
                                <w:rFonts w:ascii="Cambria" w:hAnsi="Cambria"/>
                                <w:b/>
                                <w:bCs/>
                                <w:smallCaps/>
                                <w:color w:val="FFFFFF" w:themeColor="background1"/>
                                <w:sz w:val="48"/>
                                <w:szCs w:val="48"/>
                              </w:rPr>
                            </w:pPr>
                            <w:r w:rsidRPr="00BE726D">
                              <w:rPr>
                                <w:rFonts w:ascii="Cambria" w:hAnsi="Cambria"/>
                                <w:b/>
                                <w:bCs/>
                                <w:smallCaps/>
                                <w:color w:val="FFFFFF" w:themeColor="background1"/>
                                <w:sz w:val="48"/>
                                <w:szCs w:val="48"/>
                              </w:rPr>
                              <w:t xml:space="preserve">Fiscal Year </w:t>
                            </w:r>
                            <w:r w:rsidR="0049075B" w:rsidRPr="00BE726D">
                              <w:rPr>
                                <w:rFonts w:ascii="Cambria" w:hAnsi="Cambria"/>
                                <w:b/>
                                <w:bCs/>
                                <w:smallCaps/>
                                <w:color w:val="FFFFFF" w:themeColor="background1"/>
                                <w:sz w:val="48"/>
                                <w:szCs w:val="48"/>
                              </w:rPr>
                              <w:t>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BBFA94" id="_x0000_t202" coordsize="21600,21600" o:spt="202" path="m,l,21600r21600,l21600,xe">
                <v:stroke joinstyle="miter"/>
                <v:path gradientshapeok="t" o:connecttype="rect"/>
              </v:shapetype>
              <v:shape id="Text Box 8" o:spid="_x0000_s1026" type="#_x0000_t202" style="position:absolute;margin-left:0;margin-top:610.5pt;width:608.3pt;height:163.5pt;z-index:25221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" filled="f" strokecolor="#243255 [1604]" strokeweight="3pt">
                <v:shadow on="t" color="black" opacity="26214f" origin="-.5,-.5" offset=".74836mm,.74836mm"/>
                <v:textbox>
                  <w:txbxContent>
                    <w:p w14:paraId="602D9AA3" w14:textId="77777777" w:rsidR="00A90B33" w:rsidRPr="00BE726D" w:rsidRDefault="00A90B33" w:rsidP="00A90B33">
                      <w:pPr>
                        <w:jc w:val="center"/>
                        <w:rPr>
                          <w:rFonts w:ascii="Cambria" w:hAnsi="Cambria"/>
                          <w:b/>
                          <w:bCs/>
                          <w:smallCaps/>
                          <w:color w:val="FFFFFF" w:themeColor="background1"/>
                          <w:sz w:val="48"/>
                          <w:szCs w:val="48"/>
                        </w:rPr>
                      </w:pPr>
                      <w:r w:rsidRPr="00BE726D">
                        <w:rPr>
                          <w:rFonts w:ascii="Cambria" w:hAnsi="Cambria"/>
                          <w:b/>
                          <w:bCs/>
                          <w:smallCaps/>
                          <w:color w:val="FFFFFF" w:themeColor="background1"/>
                          <w:sz w:val="48"/>
                          <w:szCs w:val="48"/>
                        </w:rPr>
                        <w:t>The Privacy and Civil Liberties Oversight Board</w:t>
                      </w:r>
                    </w:p>
                    <w:p w14:paraId="509259A6" w14:textId="064FC973" w:rsidR="00A90B33" w:rsidRPr="00BE726D" w:rsidRDefault="00A90B33" w:rsidP="00A90B33">
                      <w:pPr>
                        <w:jc w:val="center"/>
                        <w:rPr>
                          <w:rFonts w:ascii="Cambria" w:hAnsi="Cambria"/>
                          <w:b/>
                          <w:bCs/>
                          <w:smallCaps/>
                          <w:color w:val="FFFFFF" w:themeColor="background1"/>
                          <w:sz w:val="60"/>
                          <w:szCs w:val="60"/>
                        </w:rPr>
                      </w:pPr>
                      <w:r w:rsidRPr="00BE726D">
                        <w:rPr>
                          <w:rFonts w:ascii="Cambria" w:hAnsi="Cambria"/>
                          <w:b/>
                          <w:bCs/>
                          <w:smallCaps/>
                          <w:color w:val="FFFFFF" w:themeColor="background1"/>
                          <w:sz w:val="60"/>
                          <w:szCs w:val="60"/>
                        </w:rPr>
                        <w:t>Agency Financial Report</w:t>
                      </w:r>
                    </w:p>
                    <w:p w14:paraId="19860781" w14:textId="783C7646" w:rsidR="00A90B33" w:rsidRPr="00BE726D" w:rsidRDefault="00A90B33" w:rsidP="00A90B33">
                      <w:pPr>
                        <w:jc w:val="center"/>
                        <w:rPr>
                          <w:rFonts w:ascii="Cambria" w:hAnsi="Cambria"/>
                          <w:b/>
                          <w:bCs/>
                          <w:smallCaps/>
                          <w:color w:val="FFFFFF" w:themeColor="background1"/>
                          <w:sz w:val="48"/>
                          <w:szCs w:val="48"/>
                        </w:rPr>
                      </w:pPr>
                      <w:r w:rsidRPr="00BE726D">
                        <w:rPr>
                          <w:rFonts w:ascii="Cambria" w:hAnsi="Cambria"/>
                          <w:b/>
                          <w:bCs/>
                          <w:smallCaps/>
                          <w:color w:val="FFFFFF" w:themeColor="background1"/>
                          <w:sz w:val="48"/>
                          <w:szCs w:val="48"/>
                        </w:rPr>
                        <w:t xml:space="preserve">Fiscal Year </w:t>
                      </w:r>
                      <w:r w:rsidR="0049075B" w:rsidRPr="00BE726D">
                        <w:rPr>
                          <w:rFonts w:ascii="Cambria" w:hAnsi="Cambria"/>
                          <w:b/>
                          <w:bCs/>
                          <w:smallCaps/>
                          <w:color w:val="FFFFFF" w:themeColor="background1"/>
                          <w:sz w:val="48"/>
                          <w:szCs w:val="48"/>
                        </w:rPr>
                        <w:t>2025</w:t>
                      </w:r>
                    </w:p>
                  </w:txbxContent>
                </v:textbox>
                <w10:wrap anchorx="page" anchory="page"/>
              </v:shape>
            </w:pict>
          </mc:Fallback>
        </mc:AlternateContent>
      </w:r>
      <w:r>
        <w:rPr>
          <w:rFonts w:ascii="Cambria" w:hAnsi="Cambria"/>
          <w:noProof/>
          <w:sz w:val="24"/>
          <w:szCs w:val="24"/>
        </w:rPr>
        <w:br w:type="page"/>
      </w:r>
    </w:p>
    <w:p w14:paraId="60820FF4" w14:textId="77777777" w:rsidR="00340A0F" w:rsidRPr="0068146F" w:rsidRDefault="00340A0F" w:rsidP="00340A0F">
      <w:pPr>
        <w:rPr>
          <w:rFonts w:ascii="Cambria" w:hAnsi="Cambria"/>
          <w:noProof/>
          <w:sz w:val="24"/>
          <w:szCs w:val="24"/>
        </w:rPr>
      </w:pPr>
    </w:p>
    <w:p w14:paraId="168BEEDD" w14:textId="77777777" w:rsidR="00340A0F" w:rsidRDefault="00340A0F" w:rsidP="00340A0F">
      <w:pPr>
        <w:rPr>
          <w:rFonts w:ascii="Cambria" w:hAnsi="Cambria"/>
          <w:noProof/>
          <w:sz w:val="24"/>
          <w:szCs w:val="24"/>
        </w:rPr>
      </w:pPr>
    </w:p>
    <w:p w14:paraId="40BEC7D3" w14:textId="77777777" w:rsidR="00340A0F" w:rsidRPr="0068146F" w:rsidRDefault="00340A0F" w:rsidP="00340A0F">
      <w:pPr>
        <w:rPr>
          <w:rFonts w:ascii="Cambria" w:hAnsi="Cambria"/>
          <w:noProof/>
          <w:sz w:val="24"/>
          <w:szCs w:val="24"/>
        </w:rPr>
      </w:pPr>
    </w:p>
    <w:p w14:paraId="11574358" w14:textId="77777777" w:rsidR="00340A0F" w:rsidRPr="0068146F" w:rsidRDefault="00340A0F" w:rsidP="00340A0F">
      <w:pPr>
        <w:rPr>
          <w:rFonts w:ascii="Cambria" w:hAnsi="Cambria"/>
          <w:noProof/>
          <w:sz w:val="24"/>
          <w:szCs w:val="24"/>
        </w:rPr>
      </w:pPr>
    </w:p>
    <w:p w14:paraId="5BBF3D24" w14:textId="77777777" w:rsidR="00340A0F" w:rsidRPr="0068146F" w:rsidRDefault="00340A0F" w:rsidP="00340A0F">
      <w:pPr>
        <w:rPr>
          <w:rFonts w:ascii="Cambria" w:hAnsi="Cambria"/>
          <w:noProof/>
          <w:sz w:val="24"/>
          <w:szCs w:val="24"/>
        </w:rPr>
      </w:pPr>
    </w:p>
    <w:p w14:paraId="5299746E" w14:textId="77777777" w:rsidR="00340A0F" w:rsidRPr="0068146F" w:rsidRDefault="00340A0F" w:rsidP="00340A0F">
      <w:pPr>
        <w:rPr>
          <w:rFonts w:ascii="Cambria" w:hAnsi="Cambria"/>
          <w:noProof/>
          <w:sz w:val="24"/>
          <w:szCs w:val="24"/>
        </w:rPr>
      </w:pPr>
    </w:p>
    <w:p w14:paraId="64147E72" w14:textId="77777777" w:rsidR="00340A0F" w:rsidRPr="0068146F" w:rsidRDefault="00340A0F" w:rsidP="00340A0F">
      <w:pPr>
        <w:rPr>
          <w:rFonts w:ascii="Cambria" w:hAnsi="Cambria"/>
          <w:noProof/>
          <w:sz w:val="24"/>
          <w:szCs w:val="24"/>
        </w:rPr>
      </w:pPr>
    </w:p>
    <w:p w14:paraId="0143B721" w14:textId="77777777" w:rsidR="00340A0F" w:rsidRPr="0068146F" w:rsidRDefault="00340A0F" w:rsidP="00340A0F">
      <w:pPr>
        <w:rPr>
          <w:rFonts w:ascii="Cambria" w:hAnsi="Cambria"/>
          <w:noProof/>
          <w:sz w:val="24"/>
          <w:szCs w:val="24"/>
        </w:rPr>
      </w:pPr>
    </w:p>
    <w:p w14:paraId="1DD52D0E" w14:textId="77777777" w:rsidR="00340A0F" w:rsidRPr="0068146F" w:rsidRDefault="00340A0F" w:rsidP="00340A0F">
      <w:pPr>
        <w:rPr>
          <w:rFonts w:ascii="Cambria" w:hAnsi="Cambria"/>
          <w:noProof/>
          <w:sz w:val="24"/>
          <w:szCs w:val="24"/>
        </w:rPr>
      </w:pPr>
    </w:p>
    <w:p w14:paraId="162E312E" w14:textId="77777777" w:rsidR="00340A0F" w:rsidRPr="0068146F" w:rsidRDefault="00340A0F" w:rsidP="00340A0F">
      <w:pPr>
        <w:rPr>
          <w:rFonts w:ascii="Cambria" w:hAnsi="Cambria"/>
          <w:noProof/>
          <w:sz w:val="24"/>
          <w:szCs w:val="24"/>
        </w:rPr>
      </w:pPr>
    </w:p>
    <w:p w14:paraId="05216E72" w14:textId="77777777" w:rsidR="00340A0F" w:rsidRPr="0068146F" w:rsidRDefault="00340A0F" w:rsidP="00340A0F">
      <w:pPr>
        <w:rPr>
          <w:rFonts w:ascii="Cambria" w:hAnsi="Cambria"/>
          <w:noProof/>
          <w:sz w:val="24"/>
          <w:szCs w:val="24"/>
        </w:rPr>
      </w:pPr>
    </w:p>
    <w:p w14:paraId="6E96B423" w14:textId="77777777" w:rsidR="00340A0F" w:rsidRPr="0068146F" w:rsidRDefault="00340A0F" w:rsidP="00340A0F">
      <w:pPr>
        <w:rPr>
          <w:rFonts w:ascii="Cambria" w:hAnsi="Cambria"/>
          <w:noProof/>
          <w:sz w:val="24"/>
          <w:szCs w:val="24"/>
        </w:rPr>
      </w:pPr>
    </w:p>
    <w:p w14:paraId="3BD7B8E6" w14:textId="5EA26F9D" w:rsidR="00340A0F" w:rsidRPr="0068146F" w:rsidRDefault="00BE726D" w:rsidP="0068146F">
      <w:pPr>
        <w:jc w:val="center"/>
        <w:rPr>
          <w:rFonts w:ascii="Cambria" w:eastAsia="Calibri" w:hAnsi="Cambria" w:cs="Times New Roman"/>
          <w:b/>
          <w:smallCaps/>
          <w:noProof/>
          <w:color w:val="7EB1E6" w:themeColor="accent3" w:themeTint="99"/>
          <w:sz w:val="12"/>
          <w:szCs w:val="12"/>
        </w:rPr>
      </w:pPr>
      <w:r w:rsidRPr="00271EF8">
        <w:rPr>
          <w:noProof/>
          <w:sz w:val="220"/>
          <w:szCs w:val="220"/>
        </w:rPr>
        <mc:AlternateContent>
          <mc:Choice Requires="wps">
            <w:drawing>
              <wp:anchor distT="0" distB="0" distL="114300" distR="114300" simplePos="0" relativeHeight="251875840" behindDoc="0" locked="0" layoutInCell="1" allowOverlap="1" wp14:anchorId="49043D9E" wp14:editId="7C01AA01">
                <wp:simplePos x="0" y="0"/>
                <wp:positionH relativeFrom="page">
                  <wp:posOffset>4500880</wp:posOffset>
                </wp:positionH>
                <wp:positionV relativeFrom="page">
                  <wp:posOffset>7936230</wp:posOffset>
                </wp:positionV>
                <wp:extent cx="7838614" cy="2170182"/>
                <wp:effectExtent l="0" t="0" r="0" b="1905"/>
                <wp:wrapNone/>
                <wp:docPr id="1357921711" name="Rectangle 7"/>
                <wp:cNvGraphicFramePr/>
                <a:graphic xmlns:a="http://schemas.openxmlformats.org/drawingml/2006/main">
                  <a:graphicData uri="http://schemas.microsoft.com/office/word/2010/wordprocessingShape">
                    <wps:wsp>
                      <wps:cNvSpPr/>
                      <wps:spPr>
                        <a:xfrm>
                          <a:off x="0" y="0"/>
                          <a:ext cx="7838614" cy="21701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53644" id="Rectangle 7" o:spid="_x0000_s1026" style="position:absolute;margin-left:354.4pt;margin-top:624.9pt;width:617.2pt;height:170.9pt;z-index:25187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" fillcolor="white [3212]" stroked="f" strokeweight="1pt">
                <w10:wrap anchorx="page" anchory="page"/>
              </v:rect>
            </w:pict>
          </mc:Fallback>
        </mc:AlternateContent>
      </w:r>
      <w:r w:rsidR="00340A0F" w:rsidRPr="0068146F">
        <w:rPr>
          <w:rFonts w:ascii="Times New Roman" w:hAnsi="Times New Roman" w:cs="Times New Roman"/>
          <w:noProof/>
          <w:sz w:val="24"/>
        </w:rPr>
        <w:t>[T H I S  P A G E  I N T E N T I O N A L L Y  L E F T  B L A N K ]</w:t>
      </w:r>
      <w:r w:rsidR="00340A0F" w:rsidRPr="0068146F">
        <w:rPr>
          <w:noProof/>
          <w:color w:val="7EB1E6" w:themeColor="accent3" w:themeTint="99"/>
          <w:sz w:val="12"/>
          <w:szCs w:val="12"/>
        </w:rPr>
        <w:br w:type="page"/>
      </w:r>
    </w:p>
    <w:p w14:paraId="19AA7B3E" w14:textId="1A015193" w:rsidR="00F91CA2" w:rsidRPr="00311961" w:rsidRDefault="00311961" w:rsidP="00311961">
      <w:pPr>
        <w:pStyle w:val="Heading1"/>
        <w:rPr>
          <w:b w:val="0"/>
          <w:smallCaps w:val="0"/>
          <w:color w:val="FFFFFF" w:themeColor="background1"/>
          <w:sz w:val="4"/>
          <w:szCs w:val="4"/>
        </w:rPr>
      </w:pPr>
      <w:bookmarkStart w:id="2" w:name="_Toc212119643"/>
      <w:bookmarkStart w:id="3" w:name="_Toc213421217"/>
      <w:r w:rsidRPr="00311961">
        <w:rPr>
          <w:b w:val="0"/>
          <w:smallCaps w:val="0"/>
          <w:color w:val="FFFFFF" w:themeColor="background1"/>
          <w:sz w:val="4"/>
          <w:szCs w:val="4"/>
        </w:rPr>
        <w:lastRenderedPageBreak/>
        <w:t>Title page</w:t>
      </w:r>
      <w:bookmarkEnd w:id="2"/>
      <w:bookmarkEnd w:id="3"/>
    </w:p>
    <w:p w14:paraId="1BA77872" w14:textId="374F32DA" w:rsidR="00F91CA2" w:rsidRDefault="00F91CA2" w:rsidP="00F91CA2">
      <w:pPr>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pPr>
    </w:p>
    <w:p w14:paraId="003A4603" w14:textId="2D16D5BF" w:rsidR="00311961" w:rsidRPr="00F91CA2" w:rsidRDefault="00311961" w:rsidP="00F91CA2">
      <w:pPr>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pPr>
    </w:p>
    <w:p w14:paraId="4F3F3AC5" w14:textId="0916AF01" w:rsidR="00311961" w:rsidRDefault="00311961" w:rsidP="00F91CA2">
      <w:pPr>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pPr>
      <w:r>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t xml:space="preserve">The </w:t>
      </w:r>
      <w:r w:rsidR="00F91CA2" w:rsidRPr="00F91CA2">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t xml:space="preserve">Privacy and Civil Liberties </w:t>
      </w:r>
    </w:p>
    <w:p w14:paraId="3C46B757" w14:textId="0C6570B8" w:rsidR="00F91CA2" w:rsidRPr="00F91CA2" w:rsidRDefault="00F91CA2" w:rsidP="00F91CA2">
      <w:pPr>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pPr>
      <w:r w:rsidRPr="00F91CA2">
        <w:rPr>
          <w:rFonts w:ascii="Cambria" w:eastAsia="Times New Roman" w:hAnsi="Cambria"/>
          <w:b/>
          <w:bCs/>
          <w:color w:val="2F5496"/>
          <w:sz w:val="48"/>
          <w:szCs w:val="48"/>
          <w:lang w:eastAsia="x-none"/>
          <w14:shadow w14:blurRad="50800" w14:dist="38100" w14:dir="2700000" w14:sx="100000" w14:sy="100000" w14:kx="0" w14:ky="0" w14:algn="tl">
            <w14:srgbClr w14:val="000000">
              <w14:alpha w14:val="60000"/>
            </w14:srgbClr>
          </w14:shadow>
        </w:rPr>
        <w:t>Oversight Board</w:t>
      </w:r>
    </w:p>
    <w:p w14:paraId="7FF458D2" w14:textId="4149A2A9" w:rsidR="00F91CA2" w:rsidRPr="00F91CA2" w:rsidRDefault="00F91CA2" w:rsidP="00F91CA2">
      <w:pPr>
        <w:rPr>
          <w:rFonts w:ascii="Cambria" w:eastAsia="Times New Roman" w:hAnsi="Cambria"/>
          <w:color w:val="2F5496"/>
          <w:sz w:val="48"/>
          <w:szCs w:val="48"/>
          <w:lang w:eastAsia="x-none"/>
          <w14:shadow w14:blurRad="50800" w14:dist="38100" w14:dir="2700000" w14:sx="100000" w14:sy="100000" w14:kx="0" w14:ky="0" w14:algn="tl">
            <w14:srgbClr w14:val="000000">
              <w14:alpha w14:val="60000"/>
            </w14:srgbClr>
          </w14:shadow>
        </w:rPr>
      </w:pPr>
      <w:r w:rsidRPr="00F91CA2">
        <w:rPr>
          <w:rFonts w:ascii="Cambria" w:eastAsia="Times New Roman" w:hAnsi="Cambria"/>
          <w:color w:val="2F5496"/>
          <w:sz w:val="48"/>
          <w:szCs w:val="48"/>
          <w:lang w:eastAsia="x-none"/>
          <w14:shadow w14:blurRad="50800" w14:dist="38100" w14:dir="2700000" w14:sx="100000" w14:sy="100000" w14:kx="0" w14:ky="0" w14:algn="tl">
            <w14:srgbClr w14:val="000000">
              <w14:alpha w14:val="60000"/>
            </w14:srgbClr>
          </w14:shadow>
        </w:rPr>
        <w:t>Agency Financial Report</w:t>
      </w:r>
    </w:p>
    <w:p w14:paraId="5C0076C9" w14:textId="71F97F9A" w:rsidR="00F91CA2" w:rsidRPr="00F91CA2" w:rsidRDefault="00F91CA2" w:rsidP="00F91CA2">
      <w:pPr>
        <w:rPr>
          <w:rFonts w:ascii="Cambria" w:eastAsia="Times New Roman" w:hAnsi="Cambria"/>
          <w:sz w:val="48"/>
          <w:szCs w:val="48"/>
          <w:lang w:eastAsia="x-none"/>
          <w14:shadow w14:blurRad="50800" w14:dist="38100" w14:dir="2700000" w14:sx="100000" w14:sy="100000" w14:kx="0" w14:ky="0" w14:algn="tl">
            <w14:srgbClr w14:val="000000">
              <w14:alpha w14:val="60000"/>
            </w14:srgbClr>
          </w14:shadow>
        </w:rPr>
      </w:pPr>
    </w:p>
    <w:p w14:paraId="18D9D8A9" w14:textId="4FF2CF5E" w:rsidR="00F91CA2" w:rsidRPr="00F91CA2" w:rsidRDefault="00F91CA2" w:rsidP="00F91CA2">
      <w:pPr>
        <w:rPr>
          <w:rFonts w:ascii="Cambria" w:eastAsia="Times New Roman" w:hAnsi="Cambria"/>
          <w:b/>
          <w:bCs/>
          <w:sz w:val="48"/>
          <w:szCs w:val="48"/>
          <w:lang w:eastAsia="x-none"/>
          <w14:shadow w14:blurRad="50800" w14:dist="38100" w14:dir="2700000" w14:sx="100000" w14:sy="100000" w14:kx="0" w14:ky="0" w14:algn="tl">
            <w14:srgbClr w14:val="000000">
              <w14:alpha w14:val="60000"/>
            </w14:srgbClr>
          </w14:shadow>
        </w:rPr>
      </w:pPr>
      <w:r w:rsidRPr="00F91CA2">
        <w:rPr>
          <w:rFonts w:ascii="Cambria" w:eastAsia="Times New Roman" w:hAnsi="Cambria"/>
          <w:b/>
          <w:bCs/>
          <w:sz w:val="48"/>
          <w:szCs w:val="48"/>
          <w:lang w:eastAsia="x-none"/>
          <w14:shadow w14:blurRad="50800" w14:dist="38100" w14:dir="2700000" w14:sx="100000" w14:sy="100000" w14:kx="0" w14:ky="0" w14:algn="tl">
            <w14:srgbClr w14:val="000000">
              <w14:alpha w14:val="60000"/>
            </w14:srgbClr>
          </w14:shadow>
        </w:rPr>
        <w:t xml:space="preserve">FISCAL YEAR </w:t>
      </w:r>
      <w:r w:rsidR="0049075B">
        <w:rPr>
          <w:rFonts w:ascii="Cambria" w:eastAsia="Times New Roman" w:hAnsi="Cambria"/>
          <w:b/>
          <w:bCs/>
          <w:sz w:val="48"/>
          <w:szCs w:val="48"/>
          <w:lang w:eastAsia="x-none"/>
          <w14:shadow w14:blurRad="50800" w14:dist="38100" w14:dir="2700000" w14:sx="100000" w14:sy="100000" w14:kx="0" w14:ky="0" w14:algn="tl">
            <w14:srgbClr w14:val="000000">
              <w14:alpha w14:val="60000"/>
            </w14:srgbClr>
          </w14:shadow>
        </w:rPr>
        <w:t>2025</w:t>
      </w:r>
    </w:p>
    <w:p w14:paraId="7859847D" w14:textId="55AA1740" w:rsidR="00F91CA2" w:rsidRPr="000C50CC" w:rsidRDefault="00F91CA2" w:rsidP="00F91CA2">
      <w:pPr>
        <w:rPr>
          <w:rFonts w:ascii="Cambria" w:eastAsia="Times New Roman" w:hAnsi="Cambria"/>
          <w:sz w:val="32"/>
          <w:szCs w:val="32"/>
          <w:lang w:eastAsia="x-none"/>
        </w:rPr>
      </w:pPr>
    </w:p>
    <w:p w14:paraId="1D3C98FD" w14:textId="5045C3CD" w:rsidR="00F91CA2" w:rsidRPr="000C50CC" w:rsidRDefault="00F91CA2" w:rsidP="00F91CA2">
      <w:pPr>
        <w:rPr>
          <w:rFonts w:ascii="Cambria" w:eastAsia="Times New Roman" w:hAnsi="Cambria"/>
          <w:sz w:val="32"/>
          <w:szCs w:val="32"/>
          <w:lang w:eastAsia="x-none"/>
        </w:rPr>
      </w:pPr>
    </w:p>
    <w:p w14:paraId="38C5D2D7" w14:textId="77777777" w:rsidR="00F91CA2" w:rsidRPr="000C50CC" w:rsidRDefault="00F91CA2" w:rsidP="00F91CA2">
      <w:pPr>
        <w:rPr>
          <w:rFonts w:ascii="Cambria" w:eastAsia="Times New Roman" w:hAnsi="Cambria"/>
          <w:sz w:val="32"/>
          <w:szCs w:val="32"/>
          <w:lang w:eastAsia="x-none"/>
        </w:rPr>
      </w:pPr>
    </w:p>
    <w:p w14:paraId="18364D09" w14:textId="4DB47669" w:rsidR="00F91CA2" w:rsidRPr="000C50CC" w:rsidRDefault="00F91CA2" w:rsidP="00F91CA2">
      <w:pPr>
        <w:rPr>
          <w:rFonts w:ascii="Cambria" w:eastAsia="Times New Roman" w:hAnsi="Cambria"/>
          <w:sz w:val="32"/>
          <w:szCs w:val="32"/>
          <w:lang w:eastAsia="x-none"/>
        </w:rPr>
      </w:pPr>
    </w:p>
    <w:p w14:paraId="76361E52" w14:textId="2A50E20E" w:rsidR="00F91CA2" w:rsidRPr="000C50CC" w:rsidRDefault="00F91CA2" w:rsidP="00F91CA2">
      <w:pPr>
        <w:rPr>
          <w:rFonts w:ascii="Cambria" w:eastAsia="Times New Roman" w:hAnsi="Cambria"/>
          <w:sz w:val="32"/>
          <w:szCs w:val="32"/>
          <w:lang w:eastAsia="x-none"/>
        </w:rPr>
      </w:pPr>
    </w:p>
    <w:p w14:paraId="153617A5" w14:textId="5C141A76" w:rsidR="00F91CA2" w:rsidRPr="000C50CC" w:rsidRDefault="00F91CA2" w:rsidP="00F91CA2">
      <w:pPr>
        <w:rPr>
          <w:rFonts w:ascii="Cambria" w:eastAsia="Times New Roman" w:hAnsi="Cambria"/>
          <w:sz w:val="32"/>
          <w:szCs w:val="32"/>
          <w:lang w:eastAsia="x-none"/>
        </w:rPr>
      </w:pPr>
    </w:p>
    <w:p w14:paraId="43F21294" w14:textId="519A7C9C" w:rsidR="00F91CA2" w:rsidRPr="000C50CC" w:rsidRDefault="00F91CA2" w:rsidP="00F91CA2">
      <w:pPr>
        <w:rPr>
          <w:rFonts w:ascii="Cambria" w:eastAsia="Times New Roman" w:hAnsi="Cambria"/>
          <w:sz w:val="32"/>
          <w:szCs w:val="32"/>
          <w:lang w:eastAsia="x-none"/>
        </w:rPr>
      </w:pPr>
    </w:p>
    <w:p w14:paraId="38BF9D72" w14:textId="5C645637" w:rsidR="00F91CA2" w:rsidRPr="000C50CC" w:rsidRDefault="00F91CA2" w:rsidP="00F91CA2">
      <w:pPr>
        <w:rPr>
          <w:rFonts w:ascii="Cambria" w:eastAsia="Times New Roman" w:hAnsi="Cambria"/>
          <w:sz w:val="24"/>
          <w:szCs w:val="24"/>
          <w:lang w:eastAsia="x-none"/>
        </w:rPr>
      </w:pPr>
    </w:p>
    <w:p w14:paraId="2A07E48C" w14:textId="77777777" w:rsidR="00F91CA2" w:rsidRPr="000C50CC" w:rsidRDefault="00F91CA2" w:rsidP="00F91CA2">
      <w:pPr>
        <w:spacing w:after="0" w:line="240" w:lineRule="auto"/>
        <w:rPr>
          <w:rFonts w:ascii="Cambria" w:eastAsia="Times New Roman" w:hAnsi="Cambria"/>
          <w:sz w:val="24"/>
          <w:szCs w:val="24"/>
          <w:lang w:eastAsia="x-none"/>
        </w:rPr>
      </w:pPr>
      <w:r w:rsidRPr="000C50CC">
        <w:rPr>
          <w:rFonts w:ascii="Cambria" w:eastAsia="Times New Roman" w:hAnsi="Cambria"/>
          <w:sz w:val="24"/>
          <w:szCs w:val="24"/>
          <w:lang w:eastAsia="x-none"/>
        </w:rPr>
        <w:t>PRIVACY AND CIVIL LIBERTIES OVERSIGHT BOARD</w:t>
      </w:r>
    </w:p>
    <w:p w14:paraId="0BD7A94D" w14:textId="55D5384E" w:rsidR="00F91CA2" w:rsidRPr="000C50CC" w:rsidRDefault="00F91CA2" w:rsidP="00F91CA2">
      <w:pPr>
        <w:spacing w:after="0" w:line="240" w:lineRule="auto"/>
        <w:rPr>
          <w:rFonts w:ascii="Cambria" w:eastAsia="Times New Roman" w:hAnsi="Cambria"/>
          <w:sz w:val="20"/>
          <w:szCs w:val="20"/>
          <w:lang w:eastAsia="x-none"/>
        </w:rPr>
      </w:pPr>
      <w:r w:rsidRPr="000C50CC">
        <w:rPr>
          <w:rFonts w:ascii="Cambria" w:eastAsia="Times New Roman" w:hAnsi="Cambria"/>
          <w:sz w:val="20"/>
          <w:szCs w:val="20"/>
          <w:lang w:eastAsia="x-none"/>
        </w:rPr>
        <w:t>800 N. CAPITOL STREET, NW</w:t>
      </w:r>
    </w:p>
    <w:p w14:paraId="6B86ABAA" w14:textId="77777777" w:rsidR="00F91CA2" w:rsidRPr="000C50CC" w:rsidRDefault="00F91CA2" w:rsidP="00F91CA2">
      <w:pPr>
        <w:spacing w:after="0" w:line="240" w:lineRule="auto"/>
        <w:rPr>
          <w:rFonts w:ascii="Cambria" w:eastAsia="Times New Roman" w:hAnsi="Cambria"/>
          <w:sz w:val="20"/>
          <w:szCs w:val="20"/>
          <w:lang w:eastAsia="x-none"/>
        </w:rPr>
      </w:pPr>
      <w:r w:rsidRPr="000C50CC">
        <w:rPr>
          <w:rFonts w:ascii="Cambria" w:eastAsia="Times New Roman" w:hAnsi="Cambria"/>
          <w:sz w:val="20"/>
          <w:szCs w:val="20"/>
          <w:lang w:eastAsia="x-none"/>
        </w:rPr>
        <w:t>WASHINGTON, DC 20002</w:t>
      </w:r>
    </w:p>
    <w:p w14:paraId="2874778B" w14:textId="39B5BB0C" w:rsidR="00F91CA2" w:rsidRPr="000C50CC" w:rsidRDefault="00F91CA2" w:rsidP="00F91CA2">
      <w:pPr>
        <w:rPr>
          <w:rFonts w:ascii="Cambria" w:eastAsia="Times New Roman" w:hAnsi="Cambria"/>
          <w:sz w:val="32"/>
          <w:szCs w:val="32"/>
          <w:lang w:eastAsia="x-none"/>
        </w:rPr>
      </w:pPr>
    </w:p>
    <w:p w14:paraId="171AE0CC" w14:textId="4CA3206C" w:rsidR="00F91CA2" w:rsidRPr="00F55621" w:rsidRDefault="00425A20" w:rsidP="00F91CA2">
      <w:pPr>
        <w:spacing w:after="0" w:line="240" w:lineRule="auto"/>
        <w:rPr>
          <w:rFonts w:ascii="Cambria" w:eastAsia="Times New Roman" w:hAnsi="Cambria"/>
          <w:sz w:val="20"/>
          <w:szCs w:val="20"/>
          <w:lang w:eastAsia="x-none"/>
        </w:rPr>
      </w:pPr>
      <w:r w:rsidRPr="00F55621">
        <w:rPr>
          <w:rFonts w:ascii="Cambria" w:eastAsia="Times New Roman" w:hAnsi="Cambria"/>
          <w:sz w:val="20"/>
          <w:szCs w:val="20"/>
          <w:lang w:eastAsia="x-none"/>
        </w:rPr>
        <w:t xml:space="preserve">Cover photo credit: </w:t>
      </w:r>
      <w:r w:rsidR="00F55621" w:rsidRPr="00B0403B">
        <w:rPr>
          <w:rFonts w:ascii="Cambria" w:eastAsia="Times New Roman" w:hAnsi="Cambria"/>
          <w:sz w:val="20"/>
          <w:szCs w:val="20"/>
          <w:lang w:eastAsia="x-none"/>
        </w:rPr>
        <w:t>PCLOB/Laura Grasso</w:t>
      </w:r>
    </w:p>
    <w:p w14:paraId="7D2EA8A7" w14:textId="6F9F48C4" w:rsidR="00F91CA2" w:rsidRPr="000C50CC" w:rsidRDefault="00F91CA2" w:rsidP="00F91CA2">
      <w:pPr>
        <w:spacing w:after="0" w:line="240" w:lineRule="auto"/>
        <w:rPr>
          <w:rFonts w:ascii="Cambria" w:eastAsia="Times New Roman" w:hAnsi="Cambria"/>
          <w:sz w:val="20"/>
          <w:szCs w:val="20"/>
          <w:lang w:eastAsia="x-none"/>
        </w:rPr>
      </w:pPr>
      <w:r w:rsidRPr="000C50CC">
        <w:rPr>
          <w:rFonts w:ascii="Cambria" w:eastAsia="Times New Roman" w:hAnsi="Cambria"/>
          <w:sz w:val="20"/>
          <w:szCs w:val="20"/>
          <w:lang w:eastAsia="x-none"/>
        </w:rPr>
        <w:t xml:space="preserve">This report is available at </w:t>
      </w:r>
      <w:hyperlink r:id="rId9" w:history="1">
        <w:r w:rsidRPr="00296BE2">
          <w:rPr>
            <w:rStyle w:val="Hyperlink"/>
            <w:rFonts w:ascii="Cambria" w:eastAsia="Times New Roman" w:hAnsi="Cambria"/>
            <w:sz w:val="20"/>
            <w:szCs w:val="20"/>
            <w:lang w:eastAsia="x-none"/>
          </w:rPr>
          <w:t>https://www.pclob.gov/FinancialReports</w:t>
        </w:r>
      </w:hyperlink>
      <w:r w:rsidRPr="000C50CC">
        <w:rPr>
          <w:rFonts w:ascii="Cambria" w:eastAsia="Times New Roman" w:hAnsi="Cambria"/>
          <w:sz w:val="20"/>
          <w:szCs w:val="20"/>
          <w:lang w:eastAsia="x-none"/>
        </w:rPr>
        <w:t>.</w:t>
      </w:r>
    </w:p>
    <w:p w14:paraId="54349543" w14:textId="755BBFAF" w:rsidR="00121943" w:rsidRDefault="00F91CA2" w:rsidP="00F91CA2">
      <w:pPr>
        <w:rPr>
          <w:rFonts w:ascii="Cambria" w:eastAsia="Times New Roman" w:hAnsi="Cambria"/>
          <w:sz w:val="20"/>
          <w:szCs w:val="20"/>
          <w:lang w:eastAsia="x-none"/>
        </w:rPr>
      </w:pPr>
      <w:r w:rsidRPr="000C50CC">
        <w:rPr>
          <w:rFonts w:ascii="Cambria" w:eastAsia="Times New Roman" w:hAnsi="Cambria"/>
          <w:sz w:val="20"/>
          <w:szCs w:val="20"/>
          <w:lang w:eastAsia="x-none"/>
        </w:rPr>
        <w:t xml:space="preserve">Send comments or questions to </w:t>
      </w:r>
      <w:hyperlink r:id="rId10" w:history="1">
        <w:r w:rsidRPr="000C50CC">
          <w:rPr>
            <w:rStyle w:val="Hyperlink"/>
            <w:rFonts w:ascii="Cambria" w:eastAsia="Times New Roman" w:hAnsi="Cambria"/>
            <w:sz w:val="20"/>
            <w:szCs w:val="20"/>
            <w:lang w:eastAsia="x-none"/>
          </w:rPr>
          <w:t>info@pclob.gov</w:t>
        </w:r>
      </w:hyperlink>
      <w:r w:rsidRPr="000C50CC">
        <w:rPr>
          <w:rFonts w:ascii="Cambria" w:eastAsia="Times New Roman" w:hAnsi="Cambria"/>
          <w:sz w:val="20"/>
          <w:szCs w:val="20"/>
          <w:lang w:eastAsia="x-none"/>
        </w:rPr>
        <w:t xml:space="preserve"> or to the mailing address above.</w:t>
      </w:r>
    </w:p>
    <w:p w14:paraId="5BD592A9" w14:textId="05C60B69" w:rsidR="00121943" w:rsidRDefault="00290378">
      <w:pPr>
        <w:rPr>
          <w:rFonts w:ascii="Cambria" w:eastAsia="Times New Roman" w:hAnsi="Cambria"/>
          <w:sz w:val="20"/>
          <w:szCs w:val="20"/>
          <w:lang w:eastAsia="x-none"/>
        </w:rPr>
      </w:pPr>
      <w:r w:rsidRPr="00BE726D">
        <w:rPr>
          <w:noProof/>
          <w:color w:val="333F50"/>
          <w:sz w:val="2"/>
          <w:szCs w:val="2"/>
        </w:rPr>
        <w:lastRenderedPageBreak/>
        <mc:AlternateContent>
          <mc:Choice Requires="wps">
            <w:drawing>
              <wp:anchor distT="0" distB="0" distL="114300" distR="114300" simplePos="0" relativeHeight="251625972" behindDoc="1" locked="0" layoutInCell="1" allowOverlap="1" wp14:anchorId="7B444FA2" wp14:editId="4CDAFF30">
                <wp:simplePos x="0" y="0"/>
                <wp:positionH relativeFrom="page">
                  <wp:posOffset>-91440</wp:posOffset>
                </wp:positionH>
                <wp:positionV relativeFrom="paragraph">
                  <wp:posOffset>-972820</wp:posOffset>
                </wp:positionV>
                <wp:extent cx="7925960" cy="10199370"/>
                <wp:effectExtent l="57150" t="0" r="75565" b="125730"/>
                <wp:wrapNone/>
                <wp:docPr id="587535398" name="Rectangle 27"/>
                <wp:cNvGraphicFramePr/>
                <a:graphic xmlns:a="http://schemas.openxmlformats.org/drawingml/2006/main">
                  <a:graphicData uri="http://schemas.microsoft.com/office/word/2010/wordprocessingShape">
                    <wps:wsp>
                      <wps:cNvSpPr/>
                      <wps:spPr>
                        <a:xfrm>
                          <a:off x="0" y="0"/>
                          <a:ext cx="7925960" cy="10199370"/>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2ACA0" id="Rectangle 27" o:spid="_x0000_s1026" style="position:absolute;margin-left:-7.2pt;margin-top:-76.6pt;width:624.1pt;height:803.1pt;z-index:-2516905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" fillcolor="#424e62" strokecolor="#0b0f19 [484]" strokeweight="1pt">
                <v:shadow on="t" color="black" offset="0,4pt"/>
                <w10:wrap anchorx="page"/>
              </v:rect>
            </w:pict>
          </mc:Fallback>
        </mc:AlternateContent>
      </w:r>
    </w:p>
    <w:p w14:paraId="5664D567" w14:textId="0FF1AE65" w:rsidR="00F91CA2" w:rsidRDefault="000456BE" w:rsidP="00F91CA2">
      <w:pPr>
        <w:rPr>
          <w:rFonts w:ascii="Cambria" w:eastAsia="Times New Roman" w:hAnsi="Cambria"/>
          <w:sz w:val="20"/>
          <w:szCs w:val="20"/>
          <w:lang w:eastAsia="x-none"/>
        </w:rPr>
        <w:sectPr w:rsidR="00F91CA2">
          <w:headerReference w:type="first" r:id="rId11"/>
          <w:pgSz w:w="12240" w:h="15840"/>
          <w:pgMar w:top="1440" w:right="1440" w:bottom="1440" w:left="1440" w:header="720" w:footer="720" w:gutter="0"/>
          <w:cols w:space="720"/>
          <w:docGrid w:linePitch="360"/>
        </w:sectPr>
      </w:pPr>
      <w:r>
        <w:rPr>
          <w:rFonts w:ascii="Cambria" w:eastAsia="Times New Roman" w:hAnsi="Cambria"/>
          <w:sz w:val="20"/>
          <w:szCs w:val="20"/>
          <w:lang w:eastAsia="x-none"/>
        </w:rPr>
        <w:t xml:space="preserve"> </w:t>
      </w:r>
    </w:p>
    <w:p w14:paraId="5783AB9D" w14:textId="3C864306" w:rsidR="00CE50D2" w:rsidRPr="00D0727A" w:rsidRDefault="00382F72" w:rsidP="00BD19DA">
      <w:pPr>
        <w:pStyle w:val="Heading1"/>
        <w:rPr>
          <w:color w:val="333F50"/>
          <w:sz w:val="16"/>
          <w:szCs w:val="16"/>
        </w:rPr>
      </w:pPr>
      <w:bookmarkStart w:id="4" w:name="_Message_From_the"/>
      <w:bookmarkStart w:id="5" w:name="_Toc212119644"/>
      <w:bookmarkStart w:id="6" w:name="_Toc213421218"/>
      <w:bookmarkStart w:id="7" w:name="_Hlk149475916"/>
      <w:bookmarkEnd w:id="4"/>
      <w:r w:rsidRPr="00BE726D">
        <w:rPr>
          <w:noProof/>
          <w:color w:val="333F50"/>
          <w:sz w:val="2"/>
          <w:szCs w:val="2"/>
        </w:rPr>
        <mc:AlternateContent>
          <mc:Choice Requires="wps">
            <w:drawing>
              <wp:anchor distT="45720" distB="45720" distL="114300" distR="114300" simplePos="0" relativeHeight="252178944" behindDoc="0" locked="0" layoutInCell="1" allowOverlap="1" wp14:anchorId="76844270" wp14:editId="5B81EE42">
                <wp:simplePos x="0" y="0"/>
                <wp:positionH relativeFrom="margin">
                  <wp:posOffset>0</wp:posOffset>
                </wp:positionH>
                <wp:positionV relativeFrom="paragraph">
                  <wp:posOffset>603498</wp:posOffset>
                </wp:positionV>
                <wp:extent cx="5925185" cy="1524000"/>
                <wp:effectExtent l="0" t="0" r="0" b="0"/>
                <wp:wrapSquare wrapText="bothSides"/>
                <wp:docPr id="1248190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1524000"/>
                        </a:xfrm>
                        <a:prstGeom prst="rect">
                          <a:avLst/>
                        </a:prstGeom>
                        <a:noFill/>
                        <a:ln w="9525">
                          <a:noFill/>
                          <a:miter lim="800000"/>
                          <a:headEnd/>
                          <a:tailEnd/>
                        </a:ln>
                      </wps:spPr>
                      <wps:txbx>
                        <w:txbxContent>
                          <w:p w14:paraId="012808DA" w14:textId="36EE67C9" w:rsidR="00CE50D2" w:rsidRPr="00382F72" w:rsidRDefault="00DD243C" w:rsidP="00CE50D2">
                            <w:pPr>
                              <w:jc w:val="center"/>
                              <w:rPr>
                                <w:smallCaps/>
                                <w:color w:val="FFFFFF" w:themeColor="background1"/>
                                <w:spacing w:val="40"/>
                                <w:sz w:val="72"/>
                                <w:szCs w:val="72"/>
                              </w:rPr>
                            </w:pPr>
                            <w:r w:rsidRPr="00382F72" w:rsidDel="0062354C">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 xml:space="preserve">Agency </w:t>
                            </w:r>
                            <w:r w:rsidR="00A84D23" w:rsidRPr="00382F72">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Transmittal Letter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44270" id="Text Box 2" o:spid="_x0000_s1027" type="#_x0000_t202" style="position:absolute;margin-left:0;margin-top:47.5pt;width:466.55pt;height:120pt;z-index:25217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" filled="f" stroked="f">
                <v:textbox>
                  <w:txbxContent>
                    <w:p w14:paraId="012808DA" w14:textId="36EE67C9" w:rsidR="00CE50D2" w:rsidRPr="00382F72" w:rsidRDefault="00DD243C" w:rsidP="00CE50D2">
                      <w:pPr>
                        <w:jc w:val="center"/>
                        <w:rPr>
                          <w:smallCaps/>
                          <w:color w:val="FFFFFF" w:themeColor="background1"/>
                          <w:spacing w:val="40"/>
                          <w:sz w:val="72"/>
                          <w:szCs w:val="72"/>
                        </w:rPr>
                      </w:pPr>
                      <w:r w:rsidRPr="00382F72" w:rsidDel="0062354C">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 xml:space="preserve">Agency </w:t>
                      </w:r>
                      <w:r w:rsidR="00A84D23" w:rsidRPr="00382F72">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Transmittal Letter</w:t>
                      </w:r>
                    </w:p>
                  </w:txbxContent>
                </v:textbox>
                <w10:wrap type="square" anchorx="margin"/>
              </v:shape>
            </w:pict>
          </mc:Fallback>
        </mc:AlternateContent>
      </w:r>
      <w:r w:rsidR="00A84D23" w:rsidRPr="00BE726D">
        <w:rPr>
          <w:noProof/>
          <w:color w:val="333F50"/>
          <w:sz w:val="2"/>
          <w:szCs w:val="2"/>
        </w:rPr>
        <w:t>Agency Transmittal Letter</w:t>
      </w:r>
      <w:r w:rsidR="003E4941" w:rsidRPr="00BE726D">
        <w:rPr>
          <w:color w:val="333F50"/>
          <w:sz w:val="2"/>
          <w:szCs w:val="2"/>
        </w:rPr>
        <w:t xml:space="preserve"> </w:t>
      </w:r>
      <w:r w:rsidR="00CE50D2" w:rsidRPr="00D0727A">
        <w:rPr>
          <w:bCs/>
          <w:caps/>
          <w:noProof/>
          <w:color w:val="333F50"/>
          <w:spacing w:val="40"/>
          <w:sz w:val="16"/>
          <w:szCs w:val="16"/>
        </w:rPr>
        <w:drawing>
          <wp:anchor distT="0" distB="0" distL="114300" distR="114300" simplePos="0" relativeHeight="252179968" behindDoc="0" locked="0" layoutInCell="1" allowOverlap="1" wp14:anchorId="525949F4" wp14:editId="3BDC34BD">
            <wp:simplePos x="0" y="0"/>
            <wp:positionH relativeFrom="margin">
              <wp:posOffset>2021205</wp:posOffset>
            </wp:positionH>
            <wp:positionV relativeFrom="page">
              <wp:posOffset>3712845</wp:posOffset>
            </wp:positionV>
            <wp:extent cx="1975485" cy="1944370"/>
            <wp:effectExtent l="0" t="0" r="5715" b="0"/>
            <wp:wrapSquare wrapText="bothSides"/>
            <wp:docPr id="1014418417"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5485" cy="1944370"/>
                    </a:xfrm>
                    <a:prstGeom prst="rect">
                      <a:avLst/>
                    </a:prstGeom>
                  </pic:spPr>
                </pic:pic>
              </a:graphicData>
            </a:graphic>
            <wp14:sizeRelH relativeFrom="margin">
              <wp14:pctWidth>0</wp14:pctWidth>
            </wp14:sizeRelH>
            <wp14:sizeRelV relativeFrom="margin">
              <wp14:pctHeight>0</wp14:pctHeight>
            </wp14:sizeRelV>
          </wp:anchor>
        </w:drawing>
      </w:r>
      <w:bookmarkEnd w:id="5"/>
      <w:bookmarkEnd w:id="6"/>
      <w:r w:rsidR="00CE50D2" w:rsidRPr="00D0727A">
        <w:rPr>
          <w:color w:val="333F50"/>
          <w:sz w:val="16"/>
          <w:szCs w:val="16"/>
        </w:rPr>
        <w:br w:type="page"/>
      </w:r>
    </w:p>
    <w:p w14:paraId="6BF787E7" w14:textId="06A0A4A5" w:rsidR="004C42E7" w:rsidRPr="00290378" w:rsidRDefault="004C42E7" w:rsidP="004C42E7">
      <w:pPr>
        <w:jc w:val="both"/>
        <w:rPr>
          <w:rFonts w:ascii="Cambria" w:hAnsi="Cambria"/>
          <w:sz w:val="24"/>
          <w:szCs w:val="24"/>
        </w:rPr>
      </w:pPr>
      <w:bookmarkStart w:id="8" w:name="_Hlk212124662"/>
      <w:r w:rsidRPr="00290378">
        <w:rPr>
          <w:rFonts w:ascii="Cambria" w:hAnsi="Cambria"/>
          <w:sz w:val="24"/>
          <w:szCs w:val="24"/>
        </w:rPr>
        <w:lastRenderedPageBreak/>
        <w:t>I am pleased to present the Privacy and Civil Liberties Oversight Board</w:t>
      </w:r>
      <w:r w:rsidR="00FB6229" w:rsidRPr="00290378">
        <w:rPr>
          <w:rFonts w:ascii="Cambria" w:hAnsi="Cambria"/>
          <w:sz w:val="24"/>
          <w:szCs w:val="24"/>
        </w:rPr>
        <w:t xml:space="preserve"> </w:t>
      </w:r>
      <w:r w:rsidRPr="00290378">
        <w:rPr>
          <w:rFonts w:ascii="Cambria" w:hAnsi="Cambria"/>
          <w:sz w:val="24"/>
          <w:szCs w:val="24"/>
        </w:rPr>
        <w:t>(PCLOB) Fiscal Year (FY) 2025 Agency Financial Report (AFR). PCLOB’s mission is to ensure that the executive branch’s efforts to prevent terrorism are balanced with the need to protect privacy and civil liberties. To accomplish that mission, PCLOB provides advice to other executive branch agencies and conducts oversight of counterterrorism authorities and programs. This AFR highlights the agency’s FY 2025 accomplishments and challenges.</w:t>
      </w:r>
    </w:p>
    <w:p w14:paraId="12259C76" w14:textId="1057A1D3" w:rsidR="004C42E7" w:rsidRPr="00290378" w:rsidRDefault="004C42E7" w:rsidP="004C42E7">
      <w:pPr>
        <w:jc w:val="both"/>
        <w:rPr>
          <w:rFonts w:ascii="Cambria" w:hAnsi="Cambria"/>
          <w:sz w:val="24"/>
          <w:szCs w:val="24"/>
        </w:rPr>
      </w:pPr>
      <w:r w:rsidRPr="00290378">
        <w:rPr>
          <w:rFonts w:ascii="Cambria" w:hAnsi="Cambria"/>
          <w:sz w:val="24"/>
          <w:szCs w:val="24"/>
        </w:rPr>
        <w:t xml:space="preserve">PCLOB continued its work on </w:t>
      </w:r>
      <w:proofErr w:type="gramStart"/>
      <w:r w:rsidRPr="00290378">
        <w:rPr>
          <w:rFonts w:ascii="Cambria" w:hAnsi="Cambria"/>
          <w:sz w:val="24"/>
          <w:szCs w:val="24"/>
        </w:rPr>
        <w:t>a number of</w:t>
      </w:r>
      <w:proofErr w:type="gramEnd"/>
      <w:r w:rsidRPr="00290378">
        <w:rPr>
          <w:rFonts w:ascii="Cambria" w:hAnsi="Cambria"/>
          <w:sz w:val="24"/>
          <w:szCs w:val="24"/>
        </w:rPr>
        <w:t xml:space="preserve"> advice and oversight projects in FY 2025, marking the most productive year in the agency’s history. PCLOB issued reports on the National Counterterrorism Center, the Terrorist Watchlist, facial recognition technology in aviation security, </w:t>
      </w:r>
      <w:r w:rsidR="00EF34CB" w:rsidRPr="00EF34CB">
        <w:rPr>
          <w:rFonts w:ascii="Cambria" w:hAnsi="Cambria"/>
          <w:sz w:val="24"/>
          <w:szCs w:val="24"/>
        </w:rPr>
        <w:t xml:space="preserve">authorities addressing </w:t>
      </w:r>
      <w:r w:rsidRPr="00290378">
        <w:rPr>
          <w:rFonts w:ascii="Cambria" w:hAnsi="Cambria"/>
          <w:sz w:val="24"/>
          <w:szCs w:val="24"/>
        </w:rPr>
        <w:t>foreign racially motivated extremis</w:t>
      </w:r>
      <w:r w:rsidR="00EF34CB">
        <w:rPr>
          <w:rFonts w:ascii="Cambria" w:hAnsi="Cambria"/>
          <w:sz w:val="24"/>
          <w:szCs w:val="24"/>
        </w:rPr>
        <w:t>m</w:t>
      </w:r>
      <w:r w:rsidRPr="00290378">
        <w:rPr>
          <w:rFonts w:ascii="Cambria" w:hAnsi="Cambria"/>
          <w:sz w:val="24"/>
          <w:szCs w:val="24"/>
        </w:rPr>
        <w:t xml:space="preserve">, and the Intelligence Community’s implementation of Executive Order 14086, </w:t>
      </w:r>
      <w:r w:rsidRPr="00290378">
        <w:rPr>
          <w:rFonts w:ascii="Cambria" w:hAnsi="Cambria"/>
          <w:i/>
          <w:sz w:val="24"/>
          <w:szCs w:val="24"/>
        </w:rPr>
        <w:t>Enhancing Safeguards for United States Signals Intelligence Activities</w:t>
      </w:r>
      <w:r w:rsidRPr="00290378">
        <w:rPr>
          <w:rFonts w:ascii="Cambria" w:hAnsi="Cambria"/>
          <w:sz w:val="24"/>
          <w:szCs w:val="24"/>
        </w:rPr>
        <w:t xml:space="preserve">. Among other things, PCLOB began working on an update to the agency’s 2023 report examining Section 702 of the Foreign Intelligence Surveillance Act, focusing on recent changes to the program. PCLOB also continued its examination into the government’s efforts to counter domestic terrorism and the </w:t>
      </w:r>
      <w:r w:rsidR="00FC3BE7" w:rsidRPr="00290378">
        <w:rPr>
          <w:rFonts w:ascii="Cambria" w:hAnsi="Cambria"/>
          <w:sz w:val="24"/>
          <w:szCs w:val="24"/>
        </w:rPr>
        <w:t>Federal Bureau of Investigation’s (FBI</w:t>
      </w:r>
      <w:r w:rsidRPr="00290378">
        <w:rPr>
          <w:rFonts w:ascii="Cambria" w:hAnsi="Cambria"/>
          <w:sz w:val="24"/>
          <w:szCs w:val="24"/>
        </w:rPr>
        <w:t>’</w:t>
      </w:r>
      <w:r w:rsidR="00FC3BE7" w:rsidRPr="00290378">
        <w:rPr>
          <w:rFonts w:ascii="Cambria" w:hAnsi="Cambria"/>
          <w:sz w:val="24"/>
          <w:szCs w:val="24"/>
        </w:rPr>
        <w:t>s)</w:t>
      </w:r>
      <w:r w:rsidRPr="00290378">
        <w:rPr>
          <w:rFonts w:ascii="Cambria" w:hAnsi="Cambria"/>
          <w:sz w:val="24"/>
          <w:szCs w:val="24"/>
        </w:rPr>
        <w:t xml:space="preserve"> use of open</w:t>
      </w:r>
      <w:r w:rsidR="00EF34CB">
        <w:rPr>
          <w:rFonts w:ascii="Cambria" w:hAnsi="Cambria"/>
          <w:sz w:val="24"/>
          <w:szCs w:val="24"/>
        </w:rPr>
        <w:t xml:space="preserve"> </w:t>
      </w:r>
      <w:r w:rsidRPr="00290378">
        <w:rPr>
          <w:rFonts w:ascii="Cambria" w:hAnsi="Cambria"/>
          <w:sz w:val="24"/>
          <w:szCs w:val="24"/>
        </w:rPr>
        <w:t xml:space="preserve">source </w:t>
      </w:r>
      <w:r w:rsidR="002952EA" w:rsidRPr="00290378">
        <w:rPr>
          <w:rFonts w:ascii="Cambria" w:hAnsi="Cambria"/>
          <w:sz w:val="24"/>
          <w:szCs w:val="24"/>
        </w:rPr>
        <w:t>information</w:t>
      </w:r>
      <w:r w:rsidRPr="00290378">
        <w:rPr>
          <w:rFonts w:ascii="Cambria" w:hAnsi="Cambria"/>
          <w:sz w:val="24"/>
          <w:szCs w:val="24"/>
        </w:rPr>
        <w:t xml:space="preserve">.  </w:t>
      </w:r>
    </w:p>
    <w:p w14:paraId="47F011F0" w14:textId="7171555A" w:rsidR="004C42E7" w:rsidRPr="00290378" w:rsidRDefault="004C42E7" w:rsidP="004C42E7">
      <w:pPr>
        <w:jc w:val="both"/>
        <w:rPr>
          <w:rFonts w:ascii="Cambria" w:hAnsi="Cambria"/>
          <w:sz w:val="24"/>
          <w:szCs w:val="24"/>
        </w:rPr>
      </w:pPr>
      <w:r w:rsidRPr="00290378">
        <w:rPr>
          <w:rFonts w:ascii="Cambria" w:hAnsi="Cambria"/>
          <w:sz w:val="24"/>
          <w:szCs w:val="24"/>
        </w:rPr>
        <w:t>PCLOB has successfully prioritized operational efficiency and responsible financial management. Key to this success was the implementation of the agency’s first performance framework. This new framework introduced data-driven metrics that directly align with the goals and objectives outlined in PCLOB’s 2022</w:t>
      </w:r>
      <w:r w:rsidR="00335ADA" w:rsidRPr="00290378">
        <w:rPr>
          <w:rFonts w:ascii="Cambria" w:hAnsi="Cambria"/>
          <w:sz w:val="24"/>
          <w:szCs w:val="24"/>
        </w:rPr>
        <w:t>–</w:t>
      </w:r>
      <w:r w:rsidRPr="00290378">
        <w:rPr>
          <w:rFonts w:ascii="Cambria" w:hAnsi="Cambria"/>
          <w:sz w:val="24"/>
          <w:szCs w:val="24"/>
        </w:rPr>
        <w:t xml:space="preserve">2026 Strategic Plan, enabling the agency </w:t>
      </w:r>
      <w:r w:rsidR="00FB6229" w:rsidRPr="00290378">
        <w:rPr>
          <w:rFonts w:ascii="Cambria" w:hAnsi="Cambria"/>
          <w:sz w:val="24"/>
          <w:szCs w:val="24"/>
        </w:rPr>
        <w:t xml:space="preserve">to more </w:t>
      </w:r>
      <w:r w:rsidRPr="00290378">
        <w:rPr>
          <w:rFonts w:ascii="Cambria" w:hAnsi="Cambria"/>
          <w:sz w:val="24"/>
          <w:szCs w:val="24"/>
        </w:rPr>
        <w:t>effectively measure,</w:t>
      </w:r>
      <w:r w:rsidR="00AC59B8" w:rsidRPr="00290378">
        <w:rPr>
          <w:rFonts w:ascii="Cambria" w:hAnsi="Cambria"/>
          <w:sz w:val="24"/>
          <w:szCs w:val="24"/>
        </w:rPr>
        <w:t xml:space="preserve"> </w:t>
      </w:r>
      <w:r w:rsidRPr="00290378">
        <w:rPr>
          <w:rFonts w:ascii="Cambria" w:hAnsi="Cambria"/>
          <w:sz w:val="24"/>
          <w:szCs w:val="24"/>
        </w:rPr>
        <w:t>improve, and optimize its mission objectives.</w:t>
      </w:r>
    </w:p>
    <w:p w14:paraId="5FED116E" w14:textId="0B6A8E5C" w:rsidR="004C42E7" w:rsidRPr="00290378" w:rsidRDefault="004C42E7" w:rsidP="004C42E7">
      <w:pPr>
        <w:jc w:val="both"/>
        <w:rPr>
          <w:rFonts w:ascii="Cambria" w:hAnsi="Cambria"/>
          <w:sz w:val="24"/>
          <w:szCs w:val="24"/>
        </w:rPr>
      </w:pPr>
      <w:r w:rsidRPr="00290378">
        <w:rPr>
          <w:rFonts w:ascii="Cambria" w:hAnsi="Cambria"/>
          <w:sz w:val="24"/>
          <w:szCs w:val="24"/>
        </w:rPr>
        <w:t xml:space="preserve">PCLOB’s accomplishments in financial management and reliable reporting are noteworthy, underscoring our commitment to fiscal stewardship. Through continuous, disciplined efforts to enhance financial controls, maintain data integrity, and ensure the reliability of all financial reports, the agency received an unmodified (clean) audit opinion on PCLOB’s FY 2025 financial statements from its external auditor. Further, our assessment of PCLOB’s internal controls and financial management systems, as required by the Federal Managers’ Financial Integrity Act and the Office of Management and Budget’s Circular A-123, </w:t>
      </w:r>
      <w:r w:rsidRPr="00290378">
        <w:rPr>
          <w:rFonts w:ascii="Cambria" w:hAnsi="Cambria"/>
          <w:i/>
          <w:sz w:val="24"/>
          <w:szCs w:val="24"/>
        </w:rPr>
        <w:t>Management’s Responsibility for Enterprise Risk Management and Internal Control</w:t>
      </w:r>
      <w:r w:rsidRPr="00290378">
        <w:rPr>
          <w:rFonts w:ascii="Cambria" w:hAnsi="Cambria"/>
          <w:sz w:val="24"/>
          <w:szCs w:val="24"/>
        </w:rPr>
        <w:t>, enables PCLOB to provide reasonable assurance that the financial and performance information contained in this report is complete, reliable, and accurate.</w:t>
      </w:r>
    </w:p>
    <w:p w14:paraId="39C766D9" w14:textId="75CF9DE8" w:rsidR="00A74D67" w:rsidRPr="00290378" w:rsidRDefault="004C42E7" w:rsidP="0019237F">
      <w:pPr>
        <w:jc w:val="both"/>
        <w:rPr>
          <w:rFonts w:ascii="Cambria" w:hAnsi="Cambria"/>
          <w:sz w:val="24"/>
          <w:szCs w:val="24"/>
        </w:rPr>
      </w:pPr>
      <w:r w:rsidRPr="00290378">
        <w:rPr>
          <w:rFonts w:ascii="Cambria" w:hAnsi="Cambria"/>
          <w:sz w:val="24"/>
          <w:szCs w:val="24"/>
        </w:rPr>
        <w:t>I extend my heartfelt thanks and deep appreciation to the dedicated staff at PCLOB for their steadfast efforts in fulfilling the agency’s mission.</w:t>
      </w:r>
    </w:p>
    <w:p w14:paraId="1778C593" w14:textId="5922EEFA" w:rsidR="001D3AAF" w:rsidRPr="00290378" w:rsidRDefault="001D3AAF" w:rsidP="00A74D67">
      <w:pPr>
        <w:contextualSpacing/>
        <w:rPr>
          <w:rFonts w:ascii="Cambria" w:hAnsi="Cambria"/>
          <w:b/>
          <w:smallCaps/>
          <w:sz w:val="24"/>
          <w:szCs w:val="24"/>
        </w:rPr>
      </w:pPr>
      <w:r>
        <w:rPr>
          <w:rFonts w:ascii="Cambria" w:hAnsi="Cambria"/>
          <w:b/>
          <w:smallCaps/>
          <w:noProof/>
          <w:sz w:val="24"/>
          <w:szCs w:val="24"/>
        </w:rPr>
        <w:drawing>
          <wp:inline distT="0" distB="0" distL="0" distR="0" wp14:anchorId="2C36C9BC" wp14:editId="3060DAE0">
            <wp:extent cx="1534602" cy="389607"/>
            <wp:effectExtent l="0" t="0" r="0" b="0"/>
            <wp:docPr id="201089438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94387" name="Picture 2010894387"/>
                    <pic:cNvPicPr/>
                  </pic:nvPicPr>
                  <pic:blipFill rotWithShape="1">
                    <a:blip r:embed="rId13">
                      <a:extLst>
                        <a:ext uri="{28A0092B-C50C-407E-A947-70E740481C1C}">
                          <a14:useLocalDpi xmlns:a14="http://schemas.microsoft.com/office/drawing/2010/main" val="0"/>
                        </a:ext>
                      </a:extLst>
                    </a:blip>
                    <a:srcRect l="8507"/>
                    <a:stretch>
                      <a:fillRect/>
                    </a:stretch>
                  </pic:blipFill>
                  <pic:spPr bwMode="auto">
                    <a:xfrm>
                      <a:off x="0" y="0"/>
                      <a:ext cx="1550439" cy="393628"/>
                    </a:xfrm>
                    <a:prstGeom prst="rect">
                      <a:avLst/>
                    </a:prstGeom>
                    <a:ln>
                      <a:noFill/>
                    </a:ln>
                    <a:extLst>
                      <a:ext uri="{53640926-AAD7-44D8-BBD7-CCE9431645EC}">
                        <a14:shadowObscured xmlns:a14="http://schemas.microsoft.com/office/drawing/2010/main"/>
                      </a:ext>
                    </a:extLst>
                  </pic:spPr>
                </pic:pic>
              </a:graphicData>
            </a:graphic>
          </wp:inline>
        </w:drawing>
      </w:r>
    </w:p>
    <w:p w14:paraId="31C16AF3" w14:textId="2EC2E772" w:rsidR="00A74D67" w:rsidRPr="00290378" w:rsidRDefault="00A74D67" w:rsidP="0019237F">
      <w:pPr>
        <w:spacing w:line="276" w:lineRule="auto"/>
        <w:contextualSpacing/>
        <w:rPr>
          <w:rFonts w:ascii="Cambria" w:hAnsi="Cambria"/>
          <w:sz w:val="24"/>
          <w:szCs w:val="24"/>
        </w:rPr>
      </w:pPr>
      <w:r w:rsidRPr="00290378">
        <w:rPr>
          <w:rFonts w:ascii="Cambria" w:hAnsi="Cambria"/>
          <w:sz w:val="24"/>
          <w:szCs w:val="24"/>
        </w:rPr>
        <w:t>Beth A. Williams</w:t>
      </w:r>
    </w:p>
    <w:p w14:paraId="6430B721" w14:textId="77777777" w:rsidR="00A74D67" w:rsidRPr="00290378" w:rsidRDefault="00A74D67" w:rsidP="0019237F">
      <w:pPr>
        <w:spacing w:line="276" w:lineRule="auto"/>
        <w:contextualSpacing/>
        <w:rPr>
          <w:rFonts w:ascii="Cambria" w:hAnsi="Cambria"/>
          <w:sz w:val="24"/>
          <w:szCs w:val="24"/>
        </w:rPr>
      </w:pPr>
      <w:r w:rsidRPr="00290378">
        <w:rPr>
          <w:rFonts w:ascii="Cambria" w:hAnsi="Cambria"/>
          <w:sz w:val="24"/>
          <w:szCs w:val="24"/>
        </w:rPr>
        <w:t>Board Member</w:t>
      </w:r>
    </w:p>
    <w:p w14:paraId="017AF1AB" w14:textId="7D13ECFF" w:rsidR="00A30154" w:rsidRPr="00290378" w:rsidRDefault="00A74D67" w:rsidP="0019237F">
      <w:pPr>
        <w:spacing w:line="276" w:lineRule="auto"/>
        <w:contextualSpacing/>
        <w:rPr>
          <w:rFonts w:ascii="Cambria" w:hAnsi="Cambria"/>
          <w:sz w:val="24"/>
          <w:szCs w:val="24"/>
        </w:rPr>
      </w:pPr>
      <w:r w:rsidRPr="00290378">
        <w:rPr>
          <w:rFonts w:ascii="Cambria" w:hAnsi="Cambria"/>
          <w:sz w:val="24"/>
          <w:szCs w:val="24"/>
        </w:rPr>
        <w:t>November 14, 2025</w:t>
      </w:r>
    </w:p>
    <w:bookmarkEnd w:id="8"/>
    <w:p w14:paraId="349872A2" w14:textId="10ACC060" w:rsidR="00BE2772" w:rsidRDefault="00BE2772">
      <w:pPr>
        <w:rPr>
          <w:rFonts w:ascii="Cambria" w:eastAsia="Calibri" w:hAnsi="Cambria" w:cs="Times New Roman"/>
          <w:color w:val="FF0000"/>
          <w:sz w:val="24"/>
          <w:szCs w:val="24"/>
        </w:rPr>
        <w:sectPr w:rsidR="00BE2772" w:rsidSect="00290378">
          <w:headerReference w:type="default" r:id="rId14"/>
          <w:footerReference w:type="default" r:id="rId15"/>
          <w:type w:val="continuous"/>
          <w:pgSz w:w="12240" w:h="15840"/>
          <w:pgMar w:top="1980" w:right="1350" w:bottom="1440" w:left="1440" w:header="450" w:footer="720" w:gutter="0"/>
          <w:pgNumType w:start="1"/>
          <w:cols w:space="720"/>
          <w:titlePg/>
          <w:docGrid w:linePitch="360"/>
        </w:sectPr>
      </w:pPr>
    </w:p>
    <w:p w14:paraId="79C7846C" w14:textId="017FB700" w:rsidR="00A30154" w:rsidRPr="00311961" w:rsidRDefault="00A30154" w:rsidP="00290378">
      <w:pPr>
        <w:pStyle w:val="Heading1"/>
        <w:ind w:right="-360"/>
        <w:rPr>
          <w:color w:val="3F426F"/>
          <w:sz w:val="32"/>
          <w:szCs w:val="32"/>
        </w:rPr>
      </w:pPr>
      <w:bookmarkStart w:id="9" w:name="_Toc212119645"/>
      <w:bookmarkStart w:id="10" w:name="_Toc213421219"/>
      <w:r w:rsidRPr="00311961">
        <w:rPr>
          <w:color w:val="3F426F"/>
          <w:sz w:val="32"/>
          <w:szCs w:val="32"/>
        </w:rPr>
        <w:lastRenderedPageBreak/>
        <w:t>Table of Contents</w:t>
      </w:r>
      <w:bookmarkEnd w:id="9"/>
      <w:bookmarkEnd w:id="10"/>
    </w:p>
    <w:p w14:paraId="620B762A" w14:textId="0F8B4F4E" w:rsidR="00551CC7" w:rsidRPr="00551CC7" w:rsidRDefault="005F6A50" w:rsidP="00290378">
      <w:pPr>
        <w:pStyle w:val="TOC1"/>
        <w:spacing w:line="276" w:lineRule="auto"/>
        <w:ind w:right="-360"/>
        <w:contextualSpacing w:val="0"/>
        <w:rPr>
          <w:rFonts w:ascii="Cambria" w:eastAsiaTheme="minorEastAsia" w:hAnsi="Cambria" w:cstheme="minorBidi"/>
          <w:bCs w:val="0"/>
          <w:noProof/>
          <w:kern w:val="2"/>
          <w:szCs w:val="24"/>
          <w:lang w:bidi="ar-SA"/>
          <w14:ligatures w14:val="standardContextual"/>
        </w:rPr>
      </w:pPr>
      <w:r w:rsidRPr="00551CC7">
        <w:rPr>
          <w:rFonts w:ascii="Cambria" w:eastAsia="Calibri" w:hAnsi="Cambria" w:cs="Times New Roman"/>
          <w:bCs w:val="0"/>
          <w:smallCaps/>
          <w:szCs w:val="24"/>
        </w:rPr>
        <w:fldChar w:fldCharType="begin"/>
      </w:r>
      <w:r w:rsidRPr="00392AED">
        <w:rPr>
          <w:rFonts w:ascii="Cambria" w:eastAsia="Calibri" w:hAnsi="Cambria" w:cs="Times New Roman"/>
          <w:bCs w:val="0"/>
          <w:smallCaps/>
          <w:szCs w:val="24"/>
        </w:rPr>
        <w:instrText xml:space="preserve"> TOC \o "1-3" \h \z \u </w:instrText>
      </w:r>
      <w:r w:rsidRPr="00551CC7">
        <w:rPr>
          <w:rFonts w:ascii="Cambria" w:eastAsia="Calibri" w:hAnsi="Cambria" w:cs="Times New Roman"/>
          <w:bCs w:val="0"/>
          <w:smallCaps/>
          <w:szCs w:val="24"/>
        </w:rPr>
        <w:fldChar w:fldCharType="separate"/>
      </w:r>
      <w:hyperlink w:anchor="_Toc213421218" w:history="1">
        <w:r w:rsidR="00551CC7" w:rsidRPr="00551CC7">
          <w:rPr>
            <w:rStyle w:val="Hyperlink"/>
            <w:rFonts w:ascii="Cambria" w:hAnsi="Cambria"/>
            <w:noProof/>
            <w:szCs w:val="24"/>
          </w:rPr>
          <w:t xml:space="preserve">Agency Transmittal Letter </w:t>
        </w:r>
        <w:r w:rsidR="00551CC7" w:rsidRPr="00551CC7">
          <w:rPr>
            <w:rFonts w:ascii="Cambria" w:hAnsi="Cambria"/>
            <w:noProof/>
            <w:webHidden/>
            <w:szCs w:val="24"/>
          </w:rPr>
          <w:tab/>
        </w:r>
        <w:r w:rsidR="00551CC7">
          <w:rPr>
            <w:rFonts w:ascii="Cambria" w:hAnsi="Cambria"/>
            <w:noProof/>
            <w:webHidden/>
            <w:szCs w:val="24"/>
          </w:rPr>
          <w:t>1</w:t>
        </w:r>
      </w:hyperlink>
    </w:p>
    <w:p w14:paraId="486EF067" w14:textId="3A316F1A" w:rsidR="00551CC7" w:rsidRPr="00551CC7" w:rsidRDefault="00551CC7" w:rsidP="00290378">
      <w:pPr>
        <w:pStyle w:val="TOC1"/>
        <w:spacing w:line="276" w:lineRule="auto"/>
        <w:ind w:right="-360"/>
        <w:contextualSpacing w:val="0"/>
        <w:rPr>
          <w:rFonts w:ascii="Cambria" w:eastAsiaTheme="minorEastAsia" w:hAnsi="Cambria" w:cstheme="minorBidi"/>
          <w:bCs w:val="0"/>
          <w:noProof/>
          <w:kern w:val="2"/>
          <w:szCs w:val="24"/>
          <w:lang w:bidi="ar-SA"/>
          <w14:ligatures w14:val="standardContextual"/>
        </w:rPr>
      </w:pPr>
      <w:hyperlink w:anchor="_Toc213421220" w:history="1">
        <w:r w:rsidRPr="00551CC7">
          <w:rPr>
            <w:rStyle w:val="Hyperlink"/>
            <w:rFonts w:ascii="Cambria" w:hAnsi="Cambria"/>
            <w:noProof/>
            <w:szCs w:val="24"/>
          </w:rPr>
          <w:t>Introduction</w:t>
        </w:r>
        <w:r w:rsidRPr="00551CC7">
          <w:rPr>
            <w:rFonts w:ascii="Cambria" w:hAnsi="Cambria"/>
            <w:noProof/>
            <w:webHidden/>
            <w:szCs w:val="24"/>
          </w:rPr>
          <w:tab/>
        </w:r>
        <w:r w:rsidRPr="00551CC7">
          <w:rPr>
            <w:rFonts w:ascii="Cambria" w:hAnsi="Cambria"/>
            <w:noProof/>
            <w:webHidden/>
            <w:szCs w:val="24"/>
          </w:rPr>
          <w:fldChar w:fldCharType="begin"/>
        </w:r>
        <w:r w:rsidRPr="00551CC7">
          <w:rPr>
            <w:rFonts w:ascii="Cambria" w:hAnsi="Cambria"/>
            <w:noProof/>
            <w:webHidden/>
            <w:szCs w:val="24"/>
          </w:rPr>
          <w:instrText xml:space="preserve"> PAGEREF _Toc213421220 \h </w:instrText>
        </w:r>
        <w:r w:rsidRPr="00551CC7">
          <w:rPr>
            <w:rFonts w:ascii="Cambria" w:hAnsi="Cambria"/>
            <w:noProof/>
            <w:webHidden/>
            <w:szCs w:val="24"/>
          </w:rPr>
        </w:r>
        <w:r w:rsidRPr="00551CC7">
          <w:rPr>
            <w:rFonts w:ascii="Cambria" w:hAnsi="Cambria"/>
            <w:noProof/>
            <w:webHidden/>
            <w:szCs w:val="24"/>
          </w:rPr>
          <w:fldChar w:fldCharType="separate"/>
        </w:r>
        <w:r w:rsidR="00781185">
          <w:rPr>
            <w:rFonts w:ascii="Cambria" w:hAnsi="Cambria"/>
            <w:noProof/>
            <w:webHidden/>
            <w:szCs w:val="24"/>
          </w:rPr>
          <w:t>4</w:t>
        </w:r>
        <w:r w:rsidRPr="00551CC7">
          <w:rPr>
            <w:rFonts w:ascii="Cambria" w:hAnsi="Cambria"/>
            <w:noProof/>
            <w:webHidden/>
            <w:szCs w:val="24"/>
          </w:rPr>
          <w:fldChar w:fldCharType="end"/>
        </w:r>
      </w:hyperlink>
    </w:p>
    <w:p w14:paraId="79237666" w14:textId="313E3DD9" w:rsidR="00551CC7" w:rsidRPr="00551CC7" w:rsidRDefault="00551CC7" w:rsidP="00290378">
      <w:pPr>
        <w:pStyle w:val="TOC1"/>
        <w:spacing w:line="276" w:lineRule="auto"/>
        <w:ind w:right="-360"/>
        <w:contextualSpacing w:val="0"/>
        <w:rPr>
          <w:rFonts w:ascii="Cambria" w:eastAsiaTheme="minorEastAsia" w:hAnsi="Cambria" w:cstheme="minorBidi"/>
          <w:bCs w:val="0"/>
          <w:noProof/>
          <w:kern w:val="2"/>
          <w:szCs w:val="24"/>
          <w:lang w:bidi="ar-SA"/>
          <w14:ligatures w14:val="standardContextual"/>
        </w:rPr>
      </w:pPr>
      <w:hyperlink w:anchor="_Toc213421225" w:history="1">
        <w:r w:rsidRPr="00551CC7">
          <w:rPr>
            <w:rStyle w:val="Hyperlink"/>
            <w:rFonts w:ascii="Cambria" w:hAnsi="Cambria"/>
            <w:noProof/>
            <w:szCs w:val="24"/>
          </w:rPr>
          <w:t>Management’s Discussion and Analysis</w:t>
        </w:r>
        <w:r w:rsidRPr="00551CC7">
          <w:rPr>
            <w:rFonts w:ascii="Cambria" w:hAnsi="Cambria"/>
            <w:noProof/>
            <w:webHidden/>
            <w:szCs w:val="24"/>
          </w:rPr>
          <w:tab/>
        </w:r>
        <w:r w:rsidRPr="00551CC7">
          <w:rPr>
            <w:rFonts w:ascii="Cambria" w:hAnsi="Cambria"/>
            <w:noProof/>
            <w:webHidden/>
            <w:szCs w:val="24"/>
          </w:rPr>
          <w:fldChar w:fldCharType="begin"/>
        </w:r>
        <w:r w:rsidRPr="00551CC7">
          <w:rPr>
            <w:rFonts w:ascii="Cambria" w:hAnsi="Cambria"/>
            <w:noProof/>
            <w:webHidden/>
            <w:szCs w:val="24"/>
          </w:rPr>
          <w:instrText xml:space="preserve"> PAGEREF _Toc213421225 \h </w:instrText>
        </w:r>
        <w:r w:rsidRPr="00551CC7">
          <w:rPr>
            <w:rFonts w:ascii="Cambria" w:hAnsi="Cambria"/>
            <w:noProof/>
            <w:webHidden/>
            <w:szCs w:val="24"/>
          </w:rPr>
        </w:r>
        <w:r w:rsidRPr="00551CC7">
          <w:rPr>
            <w:rFonts w:ascii="Cambria" w:hAnsi="Cambria"/>
            <w:noProof/>
            <w:webHidden/>
            <w:szCs w:val="24"/>
          </w:rPr>
          <w:fldChar w:fldCharType="separate"/>
        </w:r>
        <w:r w:rsidR="00781185">
          <w:rPr>
            <w:rFonts w:ascii="Cambria" w:hAnsi="Cambria"/>
            <w:noProof/>
            <w:webHidden/>
            <w:szCs w:val="24"/>
          </w:rPr>
          <w:t>9</w:t>
        </w:r>
        <w:r w:rsidRPr="00551CC7">
          <w:rPr>
            <w:rFonts w:ascii="Cambria" w:hAnsi="Cambria"/>
            <w:noProof/>
            <w:webHidden/>
            <w:szCs w:val="24"/>
          </w:rPr>
          <w:fldChar w:fldCharType="end"/>
        </w:r>
      </w:hyperlink>
    </w:p>
    <w:p w14:paraId="6082303F" w14:textId="692C445F"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26" w:history="1">
        <w:r w:rsidRPr="00551CC7">
          <w:rPr>
            <w:rStyle w:val="Hyperlink"/>
            <w:rFonts w:ascii="Cambria" w:hAnsi="Cambria"/>
            <w:noProof/>
            <w:sz w:val="24"/>
            <w:szCs w:val="24"/>
          </w:rPr>
          <w:t>Mission and Organization Structure</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_Toc213421226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10</w:t>
        </w:r>
        <w:r w:rsidRPr="00551CC7">
          <w:rPr>
            <w:rFonts w:ascii="Cambria" w:hAnsi="Cambria"/>
            <w:noProof/>
            <w:webHidden/>
            <w:sz w:val="24"/>
            <w:szCs w:val="24"/>
          </w:rPr>
          <w:fldChar w:fldCharType="end"/>
        </w:r>
      </w:hyperlink>
    </w:p>
    <w:p w14:paraId="2058EDE2" w14:textId="026220D2"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30" w:history="1">
        <w:r w:rsidRPr="00551CC7">
          <w:rPr>
            <w:rStyle w:val="Hyperlink"/>
            <w:rFonts w:ascii="Cambria" w:hAnsi="Cambria"/>
            <w:noProof/>
            <w:sz w:val="24"/>
            <w:szCs w:val="24"/>
          </w:rPr>
          <w:t>Financial Position and Condition</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_Toc213421230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12</w:t>
        </w:r>
        <w:r w:rsidRPr="00551CC7">
          <w:rPr>
            <w:rFonts w:ascii="Cambria" w:hAnsi="Cambria"/>
            <w:noProof/>
            <w:webHidden/>
            <w:sz w:val="24"/>
            <w:szCs w:val="24"/>
          </w:rPr>
          <w:fldChar w:fldCharType="end"/>
        </w:r>
      </w:hyperlink>
    </w:p>
    <w:p w14:paraId="0EAAACE7" w14:textId="4FD3862E"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31" w:history="1">
        <w:r w:rsidRPr="00551CC7">
          <w:rPr>
            <w:rStyle w:val="Hyperlink"/>
            <w:rFonts w:ascii="Cambria" w:hAnsi="Cambria"/>
            <w:noProof/>
            <w:sz w:val="24"/>
            <w:szCs w:val="24"/>
          </w:rPr>
          <w:t>FY 2025 Key Performance Results</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_Toc213421231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20</w:t>
        </w:r>
        <w:r w:rsidRPr="00551CC7">
          <w:rPr>
            <w:rFonts w:ascii="Cambria" w:hAnsi="Cambria"/>
            <w:noProof/>
            <w:webHidden/>
            <w:sz w:val="24"/>
            <w:szCs w:val="24"/>
          </w:rPr>
          <w:fldChar w:fldCharType="end"/>
        </w:r>
      </w:hyperlink>
    </w:p>
    <w:p w14:paraId="3B7D357D" w14:textId="13C167C2"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37" w:history="1">
        <w:r w:rsidRPr="00551CC7">
          <w:rPr>
            <w:rStyle w:val="Hyperlink"/>
            <w:rFonts w:ascii="Cambria" w:hAnsi="Cambria"/>
            <w:noProof/>
            <w:sz w:val="24"/>
            <w:szCs w:val="24"/>
          </w:rPr>
          <w:t>Significant Opportunities and Risks</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_Toc213421237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39</w:t>
        </w:r>
        <w:r w:rsidRPr="00551CC7">
          <w:rPr>
            <w:rFonts w:ascii="Cambria" w:hAnsi="Cambria"/>
            <w:noProof/>
            <w:webHidden/>
            <w:sz w:val="24"/>
            <w:szCs w:val="24"/>
          </w:rPr>
          <w:fldChar w:fldCharType="end"/>
        </w:r>
      </w:hyperlink>
    </w:p>
    <w:p w14:paraId="3BB541AE" w14:textId="0E612278"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0" w:history="1">
        <w:r w:rsidRPr="00551CC7">
          <w:rPr>
            <w:rStyle w:val="Hyperlink"/>
            <w:rFonts w:ascii="Cambria" w:hAnsi="Cambria"/>
            <w:noProof/>
            <w:sz w:val="24"/>
            <w:szCs w:val="24"/>
          </w:rPr>
          <w:t>FY 2025 Management Assurance Statement</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_Toc213421240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42</w:t>
        </w:r>
        <w:r w:rsidRPr="00551CC7">
          <w:rPr>
            <w:rFonts w:ascii="Cambria" w:hAnsi="Cambria"/>
            <w:noProof/>
            <w:webHidden/>
            <w:sz w:val="24"/>
            <w:szCs w:val="24"/>
          </w:rPr>
          <w:fldChar w:fldCharType="end"/>
        </w:r>
      </w:hyperlink>
    </w:p>
    <w:p w14:paraId="33A584BB" w14:textId="73102E7B"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1" w:history="1">
        <w:r w:rsidRPr="00551CC7">
          <w:rPr>
            <w:rStyle w:val="Hyperlink"/>
            <w:rFonts w:ascii="Cambria" w:hAnsi="Cambria"/>
            <w:noProof/>
            <w:sz w:val="24"/>
            <w:szCs w:val="24"/>
          </w:rPr>
          <w:t>Analysis of Systems, Controls, and Legal Compliance</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_Toc213421241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43</w:t>
        </w:r>
        <w:r w:rsidRPr="00551CC7">
          <w:rPr>
            <w:rFonts w:ascii="Cambria" w:hAnsi="Cambria"/>
            <w:noProof/>
            <w:webHidden/>
            <w:sz w:val="24"/>
            <w:szCs w:val="24"/>
          </w:rPr>
          <w:fldChar w:fldCharType="end"/>
        </w:r>
      </w:hyperlink>
    </w:p>
    <w:p w14:paraId="6FE1CF93" w14:textId="1EB2377A" w:rsidR="00551CC7" w:rsidRPr="00551CC7" w:rsidRDefault="00551CC7" w:rsidP="00290378">
      <w:pPr>
        <w:pStyle w:val="TOC1"/>
        <w:spacing w:line="276" w:lineRule="auto"/>
        <w:ind w:right="-360"/>
        <w:rPr>
          <w:rFonts w:ascii="Cambria" w:eastAsiaTheme="minorEastAsia" w:hAnsi="Cambria" w:cstheme="minorBidi"/>
          <w:bCs w:val="0"/>
          <w:noProof/>
          <w:kern w:val="2"/>
          <w:szCs w:val="24"/>
          <w:lang w:bidi="ar-SA"/>
          <w14:ligatures w14:val="standardContextual"/>
        </w:rPr>
      </w:pPr>
      <w:hyperlink w:anchor="_Toc213421242" w:history="1">
        <w:r w:rsidRPr="00551CC7">
          <w:rPr>
            <w:rStyle w:val="Hyperlink"/>
            <w:rFonts w:ascii="Cambria" w:hAnsi="Cambria"/>
            <w:noProof/>
            <w:szCs w:val="24"/>
          </w:rPr>
          <w:t>Financial Section</w:t>
        </w:r>
        <w:r w:rsidRPr="00551CC7">
          <w:rPr>
            <w:rFonts w:ascii="Cambria" w:hAnsi="Cambria"/>
            <w:noProof/>
            <w:webHidden/>
            <w:szCs w:val="24"/>
          </w:rPr>
          <w:tab/>
        </w:r>
        <w:r w:rsidRPr="00551CC7">
          <w:rPr>
            <w:rFonts w:ascii="Cambria" w:hAnsi="Cambria"/>
            <w:noProof/>
            <w:webHidden/>
            <w:szCs w:val="24"/>
          </w:rPr>
          <w:fldChar w:fldCharType="begin"/>
        </w:r>
        <w:r w:rsidRPr="00551CC7">
          <w:rPr>
            <w:rFonts w:ascii="Cambria" w:hAnsi="Cambria"/>
            <w:noProof/>
            <w:webHidden/>
            <w:szCs w:val="24"/>
          </w:rPr>
          <w:instrText xml:space="preserve"> PAGEREF _Toc213421242 \h </w:instrText>
        </w:r>
        <w:r w:rsidRPr="00551CC7">
          <w:rPr>
            <w:rFonts w:ascii="Cambria" w:hAnsi="Cambria"/>
            <w:noProof/>
            <w:webHidden/>
            <w:szCs w:val="24"/>
          </w:rPr>
        </w:r>
        <w:r w:rsidRPr="00551CC7">
          <w:rPr>
            <w:rFonts w:ascii="Cambria" w:hAnsi="Cambria"/>
            <w:noProof/>
            <w:webHidden/>
            <w:szCs w:val="24"/>
          </w:rPr>
          <w:fldChar w:fldCharType="separate"/>
        </w:r>
        <w:r w:rsidR="00781185">
          <w:rPr>
            <w:rFonts w:ascii="Cambria" w:hAnsi="Cambria"/>
            <w:noProof/>
            <w:webHidden/>
            <w:szCs w:val="24"/>
          </w:rPr>
          <w:t>49</w:t>
        </w:r>
        <w:r w:rsidRPr="00551CC7">
          <w:rPr>
            <w:rFonts w:ascii="Cambria" w:hAnsi="Cambria"/>
            <w:noProof/>
            <w:webHidden/>
            <w:szCs w:val="24"/>
          </w:rPr>
          <w:fldChar w:fldCharType="end"/>
        </w:r>
      </w:hyperlink>
    </w:p>
    <w:p w14:paraId="44E52BD8" w14:textId="4171F4DE"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3" w:history="1">
        <w:r w:rsidRPr="00551CC7">
          <w:rPr>
            <w:rStyle w:val="Hyperlink"/>
            <w:rFonts w:ascii="Cambria" w:hAnsi="Cambria"/>
            <w:noProof/>
            <w:sz w:val="24"/>
            <w:szCs w:val="24"/>
          </w:rPr>
          <w:t>Message from the Chief Financial Officer</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_Toc213421243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50</w:t>
        </w:r>
        <w:r w:rsidRPr="00551CC7">
          <w:rPr>
            <w:rFonts w:ascii="Cambria" w:hAnsi="Cambria"/>
            <w:noProof/>
            <w:webHidden/>
            <w:sz w:val="24"/>
            <w:szCs w:val="24"/>
          </w:rPr>
          <w:fldChar w:fldCharType="end"/>
        </w:r>
      </w:hyperlink>
    </w:p>
    <w:p w14:paraId="26CFD79C" w14:textId="6855A4A6"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4" w:history="1">
        <w:r w:rsidRPr="00551CC7">
          <w:rPr>
            <w:rStyle w:val="Hyperlink"/>
            <w:rFonts w:ascii="Cambria" w:hAnsi="Cambria"/>
            <w:noProof/>
            <w:sz w:val="24"/>
            <w:szCs w:val="24"/>
          </w:rPr>
          <w:t>Independent Auditor</w:t>
        </w:r>
        <w:r w:rsidR="005131D9">
          <w:rPr>
            <w:rStyle w:val="Hyperlink"/>
            <w:rFonts w:ascii="Cambria" w:hAnsi="Cambria"/>
            <w:noProof/>
            <w:sz w:val="24"/>
            <w:szCs w:val="24"/>
          </w:rPr>
          <w:t>’s Report</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_Toc213421244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51</w:t>
        </w:r>
        <w:r w:rsidRPr="00551CC7">
          <w:rPr>
            <w:rFonts w:ascii="Cambria" w:hAnsi="Cambria"/>
            <w:noProof/>
            <w:webHidden/>
            <w:sz w:val="24"/>
            <w:szCs w:val="24"/>
          </w:rPr>
          <w:fldChar w:fldCharType="end"/>
        </w:r>
      </w:hyperlink>
    </w:p>
    <w:p w14:paraId="0E8F42DB" w14:textId="7711271D"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5" w:history="1">
        <w:r w:rsidRPr="00551CC7">
          <w:rPr>
            <w:rStyle w:val="Hyperlink"/>
            <w:rFonts w:ascii="Cambria" w:hAnsi="Cambria"/>
            <w:noProof/>
            <w:sz w:val="24"/>
            <w:szCs w:val="24"/>
          </w:rPr>
          <w:t>Audited Financial Statements</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_Toc213421245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56</w:t>
        </w:r>
        <w:r w:rsidRPr="00551CC7">
          <w:rPr>
            <w:rFonts w:ascii="Cambria" w:hAnsi="Cambria"/>
            <w:noProof/>
            <w:webHidden/>
            <w:sz w:val="24"/>
            <w:szCs w:val="24"/>
          </w:rPr>
          <w:fldChar w:fldCharType="end"/>
        </w:r>
      </w:hyperlink>
    </w:p>
    <w:p w14:paraId="29049477" w14:textId="2D2E566A"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6" w:history="1">
        <w:r w:rsidRPr="00551CC7">
          <w:rPr>
            <w:rStyle w:val="Hyperlink"/>
            <w:rFonts w:ascii="Cambria" w:hAnsi="Cambria"/>
            <w:noProof/>
            <w:sz w:val="24"/>
            <w:szCs w:val="24"/>
          </w:rPr>
          <w:t>Notes to the Financial Statements</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_Toc213421246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60</w:t>
        </w:r>
        <w:r w:rsidRPr="00551CC7">
          <w:rPr>
            <w:rFonts w:ascii="Cambria" w:hAnsi="Cambria"/>
            <w:noProof/>
            <w:webHidden/>
            <w:sz w:val="24"/>
            <w:szCs w:val="24"/>
          </w:rPr>
          <w:fldChar w:fldCharType="end"/>
        </w:r>
      </w:hyperlink>
    </w:p>
    <w:p w14:paraId="2FC068F5" w14:textId="11B4391C" w:rsidR="00551CC7" w:rsidRPr="00551CC7" w:rsidRDefault="00551CC7" w:rsidP="00290378">
      <w:pPr>
        <w:pStyle w:val="TOC1"/>
        <w:spacing w:line="276" w:lineRule="auto"/>
        <w:ind w:right="-360"/>
        <w:rPr>
          <w:rFonts w:ascii="Cambria" w:eastAsiaTheme="minorEastAsia" w:hAnsi="Cambria" w:cstheme="minorBidi"/>
          <w:bCs w:val="0"/>
          <w:noProof/>
          <w:kern w:val="2"/>
          <w:szCs w:val="24"/>
          <w:lang w:bidi="ar-SA"/>
          <w14:ligatures w14:val="standardContextual"/>
        </w:rPr>
      </w:pPr>
      <w:hyperlink w:anchor="_Toc213421247" w:history="1">
        <w:r w:rsidRPr="00551CC7">
          <w:rPr>
            <w:rStyle w:val="Hyperlink"/>
            <w:rFonts w:ascii="Cambria" w:hAnsi="Cambria"/>
            <w:noProof/>
            <w:szCs w:val="24"/>
          </w:rPr>
          <w:t>Other Information</w:t>
        </w:r>
        <w:r w:rsidRPr="00551CC7">
          <w:rPr>
            <w:rFonts w:ascii="Cambria" w:hAnsi="Cambria"/>
            <w:noProof/>
            <w:webHidden/>
            <w:szCs w:val="24"/>
          </w:rPr>
          <w:tab/>
        </w:r>
        <w:r w:rsidRPr="00551CC7">
          <w:rPr>
            <w:rFonts w:ascii="Cambria" w:hAnsi="Cambria"/>
            <w:noProof/>
            <w:webHidden/>
            <w:szCs w:val="24"/>
          </w:rPr>
          <w:fldChar w:fldCharType="begin"/>
        </w:r>
        <w:r w:rsidRPr="00551CC7">
          <w:rPr>
            <w:rFonts w:ascii="Cambria" w:hAnsi="Cambria"/>
            <w:noProof/>
            <w:webHidden/>
            <w:szCs w:val="24"/>
          </w:rPr>
          <w:instrText xml:space="preserve"> PAGEREF _Toc213421247 \h </w:instrText>
        </w:r>
        <w:r w:rsidRPr="00551CC7">
          <w:rPr>
            <w:rFonts w:ascii="Cambria" w:hAnsi="Cambria"/>
            <w:noProof/>
            <w:webHidden/>
            <w:szCs w:val="24"/>
          </w:rPr>
        </w:r>
        <w:r w:rsidRPr="00551CC7">
          <w:rPr>
            <w:rFonts w:ascii="Cambria" w:hAnsi="Cambria"/>
            <w:noProof/>
            <w:webHidden/>
            <w:szCs w:val="24"/>
          </w:rPr>
          <w:fldChar w:fldCharType="separate"/>
        </w:r>
        <w:r w:rsidR="00781185">
          <w:rPr>
            <w:rFonts w:ascii="Cambria" w:hAnsi="Cambria"/>
            <w:noProof/>
            <w:webHidden/>
            <w:szCs w:val="24"/>
          </w:rPr>
          <w:t>76</w:t>
        </w:r>
        <w:r w:rsidRPr="00551CC7">
          <w:rPr>
            <w:rFonts w:ascii="Cambria" w:hAnsi="Cambria"/>
            <w:noProof/>
            <w:webHidden/>
            <w:szCs w:val="24"/>
          </w:rPr>
          <w:fldChar w:fldCharType="end"/>
        </w:r>
      </w:hyperlink>
    </w:p>
    <w:p w14:paraId="03873CAD" w14:textId="6DA92B50"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8" w:history="1">
        <w:r w:rsidRPr="00551CC7">
          <w:rPr>
            <w:rStyle w:val="Hyperlink"/>
            <w:rFonts w:ascii="Cambria" w:hAnsi="Cambria"/>
            <w:noProof/>
            <w:sz w:val="24"/>
            <w:szCs w:val="24"/>
          </w:rPr>
          <w:t>Summary of FY 2025 Financial Statement Audit and Management Assurances</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_Toc213421248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77</w:t>
        </w:r>
        <w:r w:rsidRPr="00551CC7">
          <w:rPr>
            <w:rFonts w:ascii="Cambria" w:hAnsi="Cambria"/>
            <w:noProof/>
            <w:webHidden/>
            <w:sz w:val="24"/>
            <w:szCs w:val="24"/>
          </w:rPr>
          <w:fldChar w:fldCharType="end"/>
        </w:r>
      </w:hyperlink>
    </w:p>
    <w:p w14:paraId="762F58C4" w14:textId="2DE4783F"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49" w:history="1">
        <w:r w:rsidRPr="00551CC7">
          <w:rPr>
            <w:rStyle w:val="Hyperlink"/>
            <w:rFonts w:ascii="Cambria" w:hAnsi="Cambria"/>
            <w:noProof/>
            <w:sz w:val="24"/>
            <w:szCs w:val="24"/>
          </w:rPr>
          <w:t>Payment Integrity Information Act of 2019</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_Toc213421249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79</w:t>
        </w:r>
        <w:r w:rsidRPr="00551CC7">
          <w:rPr>
            <w:rFonts w:ascii="Cambria" w:hAnsi="Cambria"/>
            <w:noProof/>
            <w:webHidden/>
            <w:sz w:val="24"/>
            <w:szCs w:val="24"/>
          </w:rPr>
          <w:fldChar w:fldCharType="end"/>
        </w:r>
      </w:hyperlink>
    </w:p>
    <w:p w14:paraId="116D3F95" w14:textId="6D4880A9" w:rsidR="00551CC7" w:rsidRPr="00551CC7" w:rsidRDefault="00551CC7" w:rsidP="00290378">
      <w:pPr>
        <w:pStyle w:val="TOC2"/>
        <w:tabs>
          <w:tab w:val="right" w:leader="dot" w:pos="9080"/>
        </w:tabs>
        <w:spacing w:line="276" w:lineRule="auto"/>
        <w:ind w:right="-360"/>
        <w:rPr>
          <w:rFonts w:ascii="Cambria" w:eastAsiaTheme="minorEastAsia" w:hAnsi="Cambria" w:cstheme="minorBidi"/>
          <w:noProof/>
          <w:kern w:val="2"/>
          <w:sz w:val="24"/>
          <w:szCs w:val="24"/>
          <w:lang w:bidi="ar-SA"/>
          <w14:ligatures w14:val="standardContextual"/>
        </w:rPr>
      </w:pPr>
      <w:hyperlink w:anchor="_Toc213421250" w:history="1">
        <w:r w:rsidRPr="00551CC7">
          <w:rPr>
            <w:rStyle w:val="Hyperlink"/>
            <w:rFonts w:ascii="Cambria" w:hAnsi="Cambria"/>
            <w:noProof/>
            <w:sz w:val="24"/>
            <w:szCs w:val="24"/>
          </w:rPr>
          <w:t>Fraud Reduction Act</w:t>
        </w:r>
        <w:r w:rsidRPr="00551CC7">
          <w:rPr>
            <w:rFonts w:ascii="Cambria" w:hAnsi="Cambria"/>
            <w:noProof/>
            <w:webHidden/>
            <w:sz w:val="24"/>
            <w:szCs w:val="24"/>
          </w:rPr>
          <w:tab/>
        </w:r>
        <w:r w:rsidRPr="00551CC7">
          <w:rPr>
            <w:rFonts w:ascii="Cambria" w:hAnsi="Cambria"/>
            <w:noProof/>
            <w:webHidden/>
            <w:sz w:val="24"/>
            <w:szCs w:val="24"/>
          </w:rPr>
          <w:fldChar w:fldCharType="begin"/>
        </w:r>
        <w:r w:rsidRPr="00551CC7">
          <w:rPr>
            <w:rFonts w:ascii="Cambria" w:hAnsi="Cambria"/>
            <w:noProof/>
            <w:webHidden/>
            <w:sz w:val="24"/>
            <w:szCs w:val="24"/>
          </w:rPr>
          <w:instrText xml:space="preserve"> PAGEREF _Toc213421250 \h </w:instrText>
        </w:r>
        <w:r w:rsidRPr="00551CC7">
          <w:rPr>
            <w:rFonts w:ascii="Cambria" w:hAnsi="Cambria"/>
            <w:noProof/>
            <w:webHidden/>
            <w:sz w:val="24"/>
            <w:szCs w:val="24"/>
          </w:rPr>
        </w:r>
        <w:r w:rsidRPr="00551CC7">
          <w:rPr>
            <w:rFonts w:ascii="Cambria" w:hAnsi="Cambria"/>
            <w:noProof/>
            <w:webHidden/>
            <w:sz w:val="24"/>
            <w:szCs w:val="24"/>
          </w:rPr>
          <w:fldChar w:fldCharType="separate"/>
        </w:r>
        <w:r w:rsidR="00781185">
          <w:rPr>
            <w:rFonts w:ascii="Cambria" w:hAnsi="Cambria"/>
            <w:noProof/>
            <w:webHidden/>
            <w:sz w:val="24"/>
            <w:szCs w:val="24"/>
          </w:rPr>
          <w:t>81</w:t>
        </w:r>
        <w:r w:rsidRPr="00551CC7">
          <w:rPr>
            <w:rFonts w:ascii="Cambria" w:hAnsi="Cambria"/>
            <w:noProof/>
            <w:webHidden/>
            <w:sz w:val="24"/>
            <w:szCs w:val="24"/>
          </w:rPr>
          <w:fldChar w:fldCharType="end"/>
        </w:r>
      </w:hyperlink>
    </w:p>
    <w:p w14:paraId="272CEBA8" w14:textId="42EFA3A4" w:rsidR="00551CC7" w:rsidRPr="00551CC7" w:rsidRDefault="00551CC7" w:rsidP="00290378">
      <w:pPr>
        <w:pStyle w:val="TOC1"/>
        <w:spacing w:line="276" w:lineRule="auto"/>
        <w:ind w:right="-360"/>
        <w:rPr>
          <w:rFonts w:ascii="Cambria" w:eastAsiaTheme="minorEastAsia" w:hAnsi="Cambria" w:cstheme="minorBidi"/>
          <w:bCs w:val="0"/>
          <w:noProof/>
          <w:kern w:val="2"/>
          <w:szCs w:val="24"/>
          <w:lang w:bidi="ar-SA"/>
          <w14:ligatures w14:val="standardContextual"/>
        </w:rPr>
      </w:pPr>
      <w:hyperlink w:anchor="_Toc213421251" w:history="1">
        <w:r w:rsidRPr="00551CC7">
          <w:rPr>
            <w:rStyle w:val="Hyperlink"/>
            <w:rFonts w:ascii="Cambria" w:hAnsi="Cambria"/>
            <w:noProof/>
            <w:szCs w:val="24"/>
          </w:rPr>
          <w:t>Appendix: Abbreviations</w:t>
        </w:r>
        <w:r w:rsidRPr="00551CC7">
          <w:rPr>
            <w:rFonts w:ascii="Cambria" w:hAnsi="Cambria"/>
            <w:noProof/>
            <w:webHidden/>
            <w:szCs w:val="24"/>
          </w:rPr>
          <w:tab/>
        </w:r>
        <w:r w:rsidRPr="00551CC7">
          <w:rPr>
            <w:rFonts w:ascii="Cambria" w:hAnsi="Cambria"/>
            <w:noProof/>
            <w:webHidden/>
            <w:szCs w:val="24"/>
          </w:rPr>
          <w:fldChar w:fldCharType="begin"/>
        </w:r>
        <w:r w:rsidRPr="00551CC7">
          <w:rPr>
            <w:rFonts w:ascii="Cambria" w:hAnsi="Cambria"/>
            <w:noProof/>
            <w:webHidden/>
            <w:szCs w:val="24"/>
          </w:rPr>
          <w:instrText xml:space="preserve"> PAGEREF _Toc213421251 \h </w:instrText>
        </w:r>
        <w:r w:rsidRPr="00551CC7">
          <w:rPr>
            <w:rFonts w:ascii="Cambria" w:hAnsi="Cambria"/>
            <w:noProof/>
            <w:webHidden/>
            <w:szCs w:val="24"/>
          </w:rPr>
        </w:r>
        <w:r w:rsidRPr="00551CC7">
          <w:rPr>
            <w:rFonts w:ascii="Cambria" w:hAnsi="Cambria"/>
            <w:noProof/>
            <w:webHidden/>
            <w:szCs w:val="24"/>
          </w:rPr>
          <w:fldChar w:fldCharType="separate"/>
        </w:r>
        <w:r w:rsidR="00781185">
          <w:rPr>
            <w:rFonts w:ascii="Cambria" w:hAnsi="Cambria"/>
            <w:noProof/>
            <w:webHidden/>
            <w:szCs w:val="24"/>
          </w:rPr>
          <w:t>82</w:t>
        </w:r>
        <w:r w:rsidRPr="00551CC7">
          <w:rPr>
            <w:rFonts w:ascii="Cambria" w:hAnsi="Cambria"/>
            <w:noProof/>
            <w:webHidden/>
            <w:szCs w:val="24"/>
          </w:rPr>
          <w:fldChar w:fldCharType="end"/>
        </w:r>
      </w:hyperlink>
    </w:p>
    <w:p w14:paraId="4CE3B42C" w14:textId="2A6B52AE" w:rsidR="002777A2" w:rsidRPr="00D44F78" w:rsidRDefault="005F6A50" w:rsidP="00290378">
      <w:pPr>
        <w:pStyle w:val="TOC1"/>
        <w:spacing w:line="276" w:lineRule="auto"/>
        <w:ind w:right="-360"/>
        <w:contextualSpacing w:val="0"/>
        <w:rPr>
          <w:rFonts w:ascii="Cambria" w:eastAsiaTheme="minorEastAsia" w:hAnsi="Cambria" w:cstheme="minorBidi"/>
          <w:bCs w:val="0"/>
          <w:noProof/>
          <w:kern w:val="2"/>
          <w:szCs w:val="24"/>
          <w:lang w:bidi="ar-SA"/>
          <w14:ligatures w14:val="standardContextual"/>
        </w:rPr>
      </w:pPr>
      <w:r w:rsidRPr="00551CC7">
        <w:rPr>
          <w:rFonts w:ascii="Cambria" w:hAnsi="Cambria"/>
          <w:szCs w:val="24"/>
        </w:rPr>
        <w:fldChar w:fldCharType="end"/>
      </w:r>
      <w:r w:rsidRPr="002777A2">
        <w:rPr>
          <w:rFonts w:ascii="Cambria" w:eastAsia="Calibri" w:hAnsi="Cambria" w:cs="Times New Roman"/>
          <w:bCs w:val="0"/>
          <w:smallCaps/>
          <w:sz w:val="28"/>
          <w:szCs w:val="28"/>
        </w:rPr>
        <w:fldChar w:fldCharType="begin"/>
      </w:r>
      <w:r w:rsidRPr="00D44F78">
        <w:rPr>
          <w:rFonts w:ascii="Cambria" w:eastAsia="Calibri" w:hAnsi="Cambria" w:cs="Times New Roman"/>
          <w:bCs w:val="0"/>
          <w:smallCaps/>
          <w:sz w:val="28"/>
          <w:szCs w:val="28"/>
        </w:rPr>
        <w:instrText xml:space="preserve"> TOC \o "1-3" \h \z \u </w:instrText>
      </w:r>
      <w:r w:rsidRPr="002777A2">
        <w:rPr>
          <w:rFonts w:ascii="Cambria" w:eastAsia="Calibri" w:hAnsi="Cambria" w:cs="Times New Roman"/>
          <w:bCs w:val="0"/>
          <w:smallCaps/>
          <w:sz w:val="28"/>
          <w:szCs w:val="28"/>
        </w:rPr>
        <w:fldChar w:fldCharType="separate"/>
      </w:r>
    </w:p>
    <w:p w14:paraId="0D40CC3A" w14:textId="46F22ABB" w:rsidR="008D0A07" w:rsidRDefault="005F6A50" w:rsidP="00290378">
      <w:pPr>
        <w:spacing w:afterLines="60" w:after="144"/>
        <w:ind w:right="-360"/>
        <w:sectPr w:rsidR="008D0A07" w:rsidSect="00182D44">
          <w:headerReference w:type="default" r:id="rId16"/>
          <w:headerReference w:type="first" r:id="rId17"/>
          <w:footerReference w:type="first" r:id="rId18"/>
          <w:pgSz w:w="12240" w:h="15840"/>
          <w:pgMar w:top="1980" w:right="1710" w:bottom="1440" w:left="1440" w:header="450" w:footer="720" w:gutter="0"/>
          <w:cols w:space="720"/>
          <w:titlePg/>
          <w:docGrid w:linePitch="360"/>
        </w:sectPr>
      </w:pPr>
      <w:r w:rsidRPr="002777A2">
        <w:rPr>
          <w:rFonts w:ascii="Cambria" w:hAnsi="Cambria"/>
          <w:sz w:val="24"/>
          <w:szCs w:val="24"/>
        </w:rPr>
        <w:fldChar w:fldCharType="end"/>
      </w:r>
      <w:bookmarkStart w:id="11" w:name="_Toc85212072"/>
      <w:bookmarkStart w:id="12" w:name="_Toc86327245"/>
      <w:r w:rsidR="008D0A07">
        <w:br w:type="page"/>
      </w:r>
    </w:p>
    <w:bookmarkStart w:id="13" w:name="_Introduction"/>
    <w:bookmarkStart w:id="14" w:name="_Toc213421220"/>
    <w:bookmarkEnd w:id="13"/>
    <w:p w14:paraId="1D384BFB" w14:textId="67836B87" w:rsidR="00271EF8" w:rsidRPr="00AD7A93" w:rsidRDefault="00271EF8" w:rsidP="00271EF8">
      <w:pPr>
        <w:pStyle w:val="Heading1"/>
        <w:ind w:firstLine="720"/>
        <w:rPr>
          <w:color w:val="002060"/>
          <w:sz w:val="4"/>
          <w:szCs w:val="4"/>
        </w:rPr>
      </w:pPr>
      <w:r w:rsidRPr="00BD19DA">
        <w:rPr>
          <w:noProof/>
          <w:sz w:val="16"/>
          <w:szCs w:val="16"/>
        </w:rPr>
        <w:lastRenderedPageBreak/>
        <mc:AlternateContent>
          <mc:Choice Requires="wps">
            <w:drawing>
              <wp:anchor distT="0" distB="0" distL="114300" distR="114300" simplePos="0" relativeHeight="251866111" behindDoc="1" locked="0" layoutInCell="1" allowOverlap="1" wp14:anchorId="37EB0696" wp14:editId="6E3D6187">
                <wp:simplePos x="0" y="0"/>
                <wp:positionH relativeFrom="column">
                  <wp:posOffset>-1047750</wp:posOffset>
                </wp:positionH>
                <wp:positionV relativeFrom="paragraph">
                  <wp:posOffset>-1333500</wp:posOffset>
                </wp:positionV>
                <wp:extent cx="7905750" cy="10199370"/>
                <wp:effectExtent l="57150" t="0" r="76200" b="125730"/>
                <wp:wrapNone/>
                <wp:docPr id="1113744707" name="Rectangle 27"/>
                <wp:cNvGraphicFramePr/>
                <a:graphic xmlns:a="http://schemas.openxmlformats.org/drawingml/2006/main">
                  <a:graphicData uri="http://schemas.microsoft.com/office/word/2010/wordprocessingShape">
                    <wps:wsp>
                      <wps:cNvSpPr/>
                      <wps:spPr>
                        <a:xfrm>
                          <a:off x="0" y="0"/>
                          <a:ext cx="7905750" cy="10199370"/>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A64D9" id="Rectangle 27" o:spid="_x0000_s1026" style="position:absolute;margin-left:-82.5pt;margin-top:-105pt;width:622.5pt;height:803.1pt;z-index:-251450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" fillcolor="#424e62" strokecolor="#0b0f19 [484]" strokeweight="1pt">
                <v:shadow on="t" color="black" offset="0,4pt"/>
              </v:rect>
            </w:pict>
          </mc:Fallback>
        </mc:AlternateContent>
      </w:r>
      <w:r w:rsidRPr="00AD7A93">
        <w:rPr>
          <w:color w:val="3F426F"/>
          <w:sz w:val="4"/>
          <w:szCs w:val="4"/>
        </w:rPr>
        <w:t>Introduction</w:t>
      </w:r>
      <w:bookmarkEnd w:id="14"/>
    </w:p>
    <w:p w14:paraId="271B3B3E" w14:textId="182CCEA6" w:rsidR="008D0A07" w:rsidRDefault="00B65209">
      <w:r w:rsidRPr="00BD19DA">
        <w:rPr>
          <w:noProof/>
          <w:color w:val="3F426F"/>
        </w:rPr>
        <mc:AlternateContent>
          <mc:Choice Requires="wps">
            <w:drawing>
              <wp:anchor distT="45720" distB="45720" distL="114300" distR="114300" simplePos="0" relativeHeight="251759104" behindDoc="0" locked="0" layoutInCell="1" allowOverlap="1" wp14:anchorId="3BCF26C3" wp14:editId="5B634AEE">
                <wp:simplePos x="0" y="0"/>
                <wp:positionH relativeFrom="margin">
                  <wp:posOffset>-552450</wp:posOffset>
                </wp:positionH>
                <wp:positionV relativeFrom="paragraph">
                  <wp:posOffset>269875</wp:posOffset>
                </wp:positionV>
                <wp:extent cx="7030085" cy="1765300"/>
                <wp:effectExtent l="0" t="0" r="0" b="6350"/>
                <wp:wrapSquare wrapText="bothSides"/>
                <wp:docPr id="83473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0085" cy="1765300"/>
                        </a:xfrm>
                        <a:prstGeom prst="rect">
                          <a:avLst/>
                        </a:prstGeom>
                        <a:noFill/>
                        <a:ln w="9525">
                          <a:noFill/>
                          <a:miter lim="800000"/>
                          <a:headEnd/>
                          <a:tailEnd/>
                        </a:ln>
                      </wps:spPr>
                      <wps:txbx>
                        <w:txbxContent>
                          <w:p w14:paraId="053CFD05" w14:textId="0A76CD0D" w:rsidR="006E3C30" w:rsidRPr="000E6D50" w:rsidRDefault="006E3C30" w:rsidP="006E3C30">
                            <w:pPr>
                              <w:jc w:val="center"/>
                              <w:rPr>
                                <w:smallCaps/>
                                <w:color w:val="FFFFFF" w:themeColor="background1"/>
                                <w:spacing w:val="40"/>
                                <w:sz w:val="72"/>
                                <w:szCs w:val="72"/>
                              </w:rPr>
                            </w:pPr>
                            <w: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F26C3" id="_x0000_s1028" type="#_x0000_t202" style="position:absolute;margin-left:-43.5pt;margin-top:21.25pt;width:553.55pt;height:139pt;z-index:25175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" filled="f" stroked="f">
                <v:textbox>
                  <w:txbxContent>
                    <w:p w14:paraId="053CFD05" w14:textId="0A76CD0D" w:rsidR="006E3C30" w:rsidRPr="000E6D50" w:rsidRDefault="006E3C30" w:rsidP="006E3C30">
                      <w:pPr>
                        <w:jc w:val="center"/>
                        <w:rPr>
                          <w:smallCaps/>
                          <w:color w:val="FFFFFF" w:themeColor="background1"/>
                          <w:spacing w:val="40"/>
                          <w:sz w:val="72"/>
                          <w:szCs w:val="72"/>
                        </w:rPr>
                      </w:pPr>
                      <w: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Introduction</w:t>
                      </w:r>
                    </w:p>
                  </w:txbxContent>
                </v:textbox>
                <w10:wrap type="square" anchorx="margin"/>
              </v:shape>
            </w:pict>
          </mc:Fallback>
        </mc:AlternateContent>
      </w:r>
      <w:r w:rsidRPr="00BD19DA">
        <w:rPr>
          <w:b/>
          <w:bCs/>
          <w:caps/>
          <w:noProof/>
          <w:color w:val="3F426F"/>
          <w:spacing w:val="40"/>
        </w:rPr>
        <w:drawing>
          <wp:anchor distT="0" distB="0" distL="114300" distR="114300" simplePos="0" relativeHeight="252056064" behindDoc="0" locked="0" layoutInCell="1" allowOverlap="1" wp14:anchorId="75B7716D" wp14:editId="1A8A0485">
            <wp:simplePos x="0" y="0"/>
            <wp:positionH relativeFrom="margin">
              <wp:posOffset>1989455</wp:posOffset>
            </wp:positionH>
            <wp:positionV relativeFrom="page">
              <wp:posOffset>3225800</wp:posOffset>
            </wp:positionV>
            <wp:extent cx="2033270" cy="2001520"/>
            <wp:effectExtent l="0" t="0" r="5080" b="0"/>
            <wp:wrapSquare wrapText="bothSides"/>
            <wp:docPr id="316795128"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3270" cy="2001520"/>
                    </a:xfrm>
                    <a:prstGeom prst="rect">
                      <a:avLst/>
                    </a:prstGeom>
                  </pic:spPr>
                </pic:pic>
              </a:graphicData>
            </a:graphic>
            <wp14:sizeRelH relativeFrom="margin">
              <wp14:pctWidth>0</wp14:pctWidth>
            </wp14:sizeRelH>
            <wp14:sizeRelV relativeFrom="margin">
              <wp14:pctHeight>0</wp14:pctHeight>
            </wp14:sizeRelV>
          </wp:anchor>
        </w:drawing>
      </w:r>
    </w:p>
    <w:p w14:paraId="1D612E84" w14:textId="01384A34" w:rsidR="006E3C30" w:rsidRDefault="006E3C30">
      <w:pPr>
        <w:rPr>
          <w:rFonts w:ascii="Cambria" w:eastAsia="Calibri" w:hAnsi="Cambria" w:cs="Times New Roman"/>
          <w:b/>
          <w:smallCaps/>
          <w:color w:val="2F5496"/>
        </w:rPr>
      </w:pPr>
      <w:r>
        <w:br w:type="page"/>
      </w:r>
    </w:p>
    <w:p w14:paraId="7C53EB4D" w14:textId="3F5C9915" w:rsidR="005F6A50" w:rsidRPr="005F6A50" w:rsidRDefault="005F6A50" w:rsidP="00364BAB">
      <w:pPr>
        <w:keepNext/>
        <w:spacing w:before="240" w:after="60"/>
        <w:outlineLvl w:val="1"/>
        <w:rPr>
          <w:rFonts w:ascii="Cambria" w:eastAsia="Times New Roman" w:hAnsi="Cambria" w:cs="Times New Roman"/>
          <w:b/>
          <w:bCs/>
          <w:sz w:val="28"/>
          <w:szCs w:val="28"/>
        </w:rPr>
      </w:pPr>
      <w:bookmarkStart w:id="15" w:name="_Toc179295647"/>
      <w:bookmarkStart w:id="16" w:name="_Toc212119647"/>
      <w:bookmarkStart w:id="17" w:name="_Toc213421221"/>
      <w:r w:rsidRPr="005F6A50">
        <w:rPr>
          <w:rFonts w:ascii="Cambria" w:eastAsia="Times New Roman" w:hAnsi="Cambria" w:cs="Times New Roman"/>
          <w:b/>
          <w:bCs/>
          <w:sz w:val="28"/>
          <w:szCs w:val="28"/>
        </w:rPr>
        <w:lastRenderedPageBreak/>
        <w:t>About This Report</w:t>
      </w:r>
      <w:bookmarkEnd w:id="11"/>
      <w:bookmarkEnd w:id="12"/>
      <w:bookmarkEnd w:id="15"/>
      <w:bookmarkEnd w:id="16"/>
      <w:bookmarkEnd w:id="17"/>
    </w:p>
    <w:p w14:paraId="3A76EFB2" w14:textId="44B5CA7A" w:rsidR="005F6A50" w:rsidRPr="004F44A2" w:rsidRDefault="00556656" w:rsidP="005F6A50">
      <w:pPr>
        <w:spacing w:line="276" w:lineRule="auto"/>
        <w:jc w:val="both"/>
        <w:rPr>
          <w:rFonts w:ascii="Cambria" w:eastAsia="Times New Roman" w:hAnsi="Cambria" w:cs="Times New Roman"/>
          <w:sz w:val="24"/>
          <w:szCs w:val="24"/>
          <w:lang w:eastAsia="x-none"/>
        </w:rPr>
      </w:pPr>
      <w:r w:rsidRPr="00556656">
        <w:rPr>
          <w:rFonts w:ascii="Cambria" w:eastAsia="Times New Roman" w:hAnsi="Cambria" w:cs="Times New Roman"/>
          <w:noProof/>
          <w:sz w:val="24"/>
          <w:szCs w:val="24"/>
          <w:lang w:eastAsia="x-none"/>
        </w:rPr>
        <w:drawing>
          <wp:anchor distT="0" distB="0" distL="114300" distR="114300" simplePos="0" relativeHeight="252216832" behindDoc="0" locked="0" layoutInCell="1" allowOverlap="1" wp14:anchorId="255D079F" wp14:editId="763EB5E8">
            <wp:simplePos x="0" y="0"/>
            <wp:positionH relativeFrom="column">
              <wp:posOffset>13970</wp:posOffset>
            </wp:positionH>
            <wp:positionV relativeFrom="page">
              <wp:posOffset>1582420</wp:posOffset>
            </wp:positionV>
            <wp:extent cx="1701165" cy="2209800"/>
            <wp:effectExtent l="0" t="0" r="0" b="0"/>
            <wp:wrapSquare wrapText="bothSides"/>
            <wp:docPr id="378169034" name="Picture 1" descr="A picture containing text, wh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69034" name="Picture 1" descr="A picture containing text, whit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01165" cy="2209800"/>
                    </a:xfrm>
                    <a:prstGeom prst="rect">
                      <a:avLst/>
                    </a:prstGeom>
                  </pic:spPr>
                </pic:pic>
              </a:graphicData>
            </a:graphic>
            <wp14:sizeRelH relativeFrom="margin">
              <wp14:pctWidth>0</wp14:pctWidth>
            </wp14:sizeRelH>
            <wp14:sizeRelV relativeFrom="margin">
              <wp14:pctHeight>0</wp14:pctHeight>
            </wp14:sizeRelV>
          </wp:anchor>
        </w:drawing>
      </w:r>
      <w:r w:rsidR="002445BE" w:rsidRPr="004F44A2">
        <w:rPr>
          <w:rFonts w:ascii="Cambria" w:eastAsia="Times New Roman" w:hAnsi="Cambria" w:cs="Times New Roman"/>
          <w:sz w:val="24"/>
          <w:szCs w:val="24"/>
          <w:lang w:eastAsia="x-none"/>
        </w:rPr>
        <w:t>PCLOB’s</w:t>
      </w:r>
      <w:r w:rsidR="005F6A50" w:rsidRPr="004F44A2">
        <w:rPr>
          <w:rFonts w:ascii="Cambria" w:eastAsia="Times New Roman" w:hAnsi="Cambria" w:cs="Times New Roman"/>
          <w:sz w:val="24"/>
          <w:szCs w:val="24"/>
          <w:lang w:eastAsia="x-none"/>
        </w:rPr>
        <w:t xml:space="preserve"> FY </w:t>
      </w:r>
      <w:r w:rsidR="0049075B" w:rsidRPr="004F44A2">
        <w:rPr>
          <w:rFonts w:ascii="Cambria" w:eastAsia="Times New Roman" w:hAnsi="Cambria" w:cs="Times New Roman"/>
          <w:sz w:val="24"/>
          <w:szCs w:val="24"/>
          <w:lang w:eastAsia="x-none"/>
        </w:rPr>
        <w:t>2025</w:t>
      </w:r>
      <w:r w:rsidR="005F6A50" w:rsidRPr="004F44A2">
        <w:rPr>
          <w:rFonts w:ascii="Cambria" w:eastAsia="Times New Roman" w:hAnsi="Cambria" w:cs="Times New Roman"/>
          <w:sz w:val="24"/>
          <w:szCs w:val="24"/>
          <w:lang w:eastAsia="x-none"/>
        </w:rPr>
        <w:t xml:space="preserve"> </w:t>
      </w:r>
      <w:r w:rsidR="002445BE" w:rsidRPr="004F44A2">
        <w:rPr>
          <w:rFonts w:ascii="Cambria" w:eastAsia="Times New Roman" w:hAnsi="Cambria" w:cs="Times New Roman"/>
          <w:sz w:val="24"/>
          <w:szCs w:val="24"/>
          <w:lang w:eastAsia="x-none"/>
        </w:rPr>
        <w:t xml:space="preserve">AFR </w:t>
      </w:r>
      <w:r w:rsidR="005F6A50" w:rsidRPr="004F44A2">
        <w:rPr>
          <w:rFonts w:ascii="Cambria" w:eastAsia="Times New Roman" w:hAnsi="Cambria" w:cs="Times New Roman"/>
          <w:sz w:val="24"/>
          <w:szCs w:val="24"/>
          <w:lang w:eastAsia="x-none"/>
        </w:rPr>
        <w:t xml:space="preserve">provides fiscal results and performance highlights for the reporting period beginning October 1, </w:t>
      </w:r>
      <w:r w:rsidR="00BF4473" w:rsidRPr="004F44A2">
        <w:rPr>
          <w:rFonts w:ascii="Cambria" w:eastAsia="Times New Roman" w:hAnsi="Cambria" w:cs="Times New Roman"/>
          <w:sz w:val="24"/>
          <w:szCs w:val="24"/>
          <w:lang w:eastAsia="x-none"/>
        </w:rPr>
        <w:t>202</w:t>
      </w:r>
      <w:r w:rsidR="00DD243C" w:rsidRPr="004F44A2">
        <w:rPr>
          <w:rFonts w:ascii="Cambria" w:eastAsia="Times New Roman" w:hAnsi="Cambria" w:cs="Times New Roman"/>
          <w:sz w:val="24"/>
          <w:szCs w:val="24"/>
          <w:lang w:eastAsia="x-none"/>
        </w:rPr>
        <w:t>4</w:t>
      </w:r>
      <w:r w:rsidR="001607CB" w:rsidRPr="004F44A2">
        <w:rPr>
          <w:rFonts w:ascii="Cambria" w:eastAsia="Times New Roman" w:hAnsi="Cambria" w:cs="Times New Roman"/>
          <w:sz w:val="24"/>
          <w:szCs w:val="24"/>
          <w:lang w:eastAsia="x-none"/>
        </w:rPr>
        <w:t>,</w:t>
      </w:r>
      <w:r w:rsidR="005F6A50" w:rsidRPr="004F44A2">
        <w:rPr>
          <w:rFonts w:ascii="Cambria" w:eastAsia="Times New Roman" w:hAnsi="Cambria" w:cs="Times New Roman"/>
          <w:sz w:val="24"/>
          <w:szCs w:val="24"/>
          <w:lang w:eastAsia="x-none"/>
        </w:rPr>
        <w:t xml:space="preserve"> and ending September 30, </w:t>
      </w:r>
      <w:r w:rsidR="0049075B" w:rsidRPr="004F44A2">
        <w:rPr>
          <w:rFonts w:ascii="Cambria" w:eastAsia="Times New Roman" w:hAnsi="Cambria" w:cs="Times New Roman"/>
          <w:sz w:val="24"/>
          <w:szCs w:val="24"/>
          <w:lang w:eastAsia="x-none"/>
        </w:rPr>
        <w:t>2025</w:t>
      </w:r>
      <w:r w:rsidR="005F6A50" w:rsidRPr="004F44A2">
        <w:rPr>
          <w:rFonts w:ascii="Cambria" w:eastAsia="Times New Roman" w:hAnsi="Cambria" w:cs="Times New Roman"/>
          <w:sz w:val="24"/>
          <w:szCs w:val="24"/>
          <w:lang w:eastAsia="x-none"/>
        </w:rPr>
        <w:t>. This report enables the President, Congress, and the public to assess the agency’s fiscal accountability as PCLOB advances its mission of ensuring that efforts by the executive branch to protect the nation from terrorism are balanced with privacy and civil liberties.</w:t>
      </w:r>
    </w:p>
    <w:p w14:paraId="7FD649EA" w14:textId="07E5A459" w:rsidR="00BB1E0E" w:rsidRPr="004F44A2" w:rsidRDefault="005F6A50" w:rsidP="005F6A50">
      <w:pPr>
        <w:spacing w:line="276" w:lineRule="auto"/>
        <w:jc w:val="both"/>
        <w:rPr>
          <w:rFonts w:ascii="Cambria" w:eastAsia="Times New Roman" w:hAnsi="Cambria" w:cs="Times New Roman"/>
          <w:sz w:val="24"/>
          <w:szCs w:val="24"/>
          <w:lang w:eastAsia="x-none"/>
        </w:rPr>
      </w:pPr>
      <w:r w:rsidRPr="004F44A2">
        <w:rPr>
          <w:rFonts w:ascii="Cambria" w:eastAsia="Times New Roman" w:hAnsi="Cambria" w:cs="Times New Roman"/>
          <w:sz w:val="24"/>
          <w:szCs w:val="24"/>
          <w:lang w:eastAsia="x-none"/>
        </w:rPr>
        <w:t xml:space="preserve">The </w:t>
      </w:r>
      <w:r w:rsidR="002445BE" w:rsidRPr="004F44A2">
        <w:rPr>
          <w:rFonts w:ascii="Cambria" w:eastAsia="Times New Roman" w:hAnsi="Cambria" w:cs="Times New Roman"/>
          <w:sz w:val="24"/>
          <w:szCs w:val="24"/>
          <w:lang w:eastAsia="x-none"/>
        </w:rPr>
        <w:t>AFR</w:t>
      </w:r>
      <w:r w:rsidRPr="004F44A2">
        <w:rPr>
          <w:rFonts w:ascii="Cambria" w:eastAsia="Times New Roman" w:hAnsi="Cambria" w:cs="Times New Roman"/>
          <w:sz w:val="24"/>
          <w:szCs w:val="24"/>
          <w:lang w:eastAsia="x-none"/>
        </w:rPr>
        <w:t xml:space="preserve"> is one of the performance and financial reports required from federal agencies, prepared in accordance with Office of Management and Budget (OMB) Circulars </w:t>
      </w:r>
      <w:hyperlink r:id="rId20" w:history="1">
        <w:r w:rsidRPr="002A73B9">
          <w:rPr>
            <w:rStyle w:val="Hyperlink"/>
            <w:rFonts w:ascii="Cambria" w:eastAsia="Times New Roman" w:hAnsi="Cambria" w:cs="Times New Roman"/>
            <w:sz w:val="24"/>
            <w:szCs w:val="24"/>
            <w:lang w:eastAsia="x-none"/>
          </w:rPr>
          <w:t xml:space="preserve">A-11, </w:t>
        </w:r>
        <w:r w:rsidRPr="002A73B9">
          <w:rPr>
            <w:rStyle w:val="Hyperlink"/>
            <w:rFonts w:ascii="Cambria" w:eastAsia="Times New Roman" w:hAnsi="Cambria" w:cs="Times New Roman"/>
            <w:i/>
            <w:iCs/>
            <w:sz w:val="24"/>
            <w:szCs w:val="24"/>
            <w:lang w:eastAsia="x-none"/>
          </w:rPr>
          <w:t>Preparation, Submission, and Execution of the Budget</w:t>
        </w:r>
      </w:hyperlink>
      <w:r w:rsidRPr="004F44A2">
        <w:rPr>
          <w:rFonts w:ascii="Cambria" w:eastAsia="Times New Roman" w:hAnsi="Cambria" w:cs="Times New Roman"/>
          <w:sz w:val="24"/>
          <w:szCs w:val="24"/>
          <w:lang w:eastAsia="x-none"/>
        </w:rPr>
        <w:t xml:space="preserve">; </w:t>
      </w:r>
      <w:hyperlink r:id="rId21" w:history="1">
        <w:r w:rsidRPr="002A73B9">
          <w:rPr>
            <w:rStyle w:val="Hyperlink"/>
            <w:rFonts w:ascii="Cambria" w:eastAsia="Times New Roman" w:hAnsi="Cambria" w:cs="Times New Roman"/>
            <w:sz w:val="24"/>
            <w:szCs w:val="24"/>
            <w:lang w:eastAsia="x-none"/>
          </w:rPr>
          <w:t xml:space="preserve">A-123, </w:t>
        </w:r>
        <w:r w:rsidRPr="002A73B9">
          <w:rPr>
            <w:rStyle w:val="Hyperlink"/>
            <w:rFonts w:ascii="Cambria" w:eastAsia="Times New Roman" w:hAnsi="Cambria" w:cs="Times New Roman"/>
            <w:i/>
            <w:iCs/>
            <w:sz w:val="24"/>
            <w:szCs w:val="24"/>
            <w:lang w:eastAsia="x-none"/>
          </w:rPr>
          <w:t>Management’s Responsibility for Enterprise Risk Management</w:t>
        </w:r>
        <w:r w:rsidRPr="002A73B9">
          <w:rPr>
            <w:rStyle w:val="Hyperlink"/>
            <w:rFonts w:ascii="Cambria" w:eastAsia="Times New Roman" w:hAnsi="Cambria" w:cs="Times New Roman"/>
            <w:sz w:val="24"/>
            <w:szCs w:val="24"/>
            <w:lang w:eastAsia="x-none"/>
          </w:rPr>
          <w:t xml:space="preserve"> </w:t>
        </w:r>
        <w:r w:rsidRPr="002A73B9">
          <w:rPr>
            <w:rStyle w:val="Hyperlink"/>
            <w:rFonts w:ascii="Cambria" w:eastAsia="Times New Roman" w:hAnsi="Cambria" w:cs="Times New Roman"/>
            <w:i/>
            <w:iCs/>
            <w:sz w:val="24"/>
            <w:szCs w:val="24"/>
            <w:lang w:eastAsia="x-none"/>
          </w:rPr>
          <w:t>and Internal Control</w:t>
        </w:r>
      </w:hyperlink>
      <w:r w:rsidRPr="004F44A2">
        <w:rPr>
          <w:rFonts w:ascii="Cambria" w:eastAsia="Times New Roman" w:hAnsi="Cambria" w:cs="Times New Roman"/>
          <w:sz w:val="24"/>
          <w:szCs w:val="24"/>
          <w:lang w:eastAsia="x-none"/>
        </w:rPr>
        <w:t xml:space="preserve">; and </w:t>
      </w:r>
      <w:hyperlink r:id="rId22" w:history="1">
        <w:r w:rsidRPr="002A73B9">
          <w:rPr>
            <w:rStyle w:val="Hyperlink"/>
            <w:rFonts w:ascii="Cambria" w:eastAsia="Times New Roman" w:hAnsi="Cambria" w:cs="Times New Roman"/>
            <w:sz w:val="24"/>
            <w:szCs w:val="24"/>
            <w:lang w:eastAsia="x-none"/>
          </w:rPr>
          <w:t xml:space="preserve">A-136, </w:t>
        </w:r>
        <w:r w:rsidRPr="002A73B9">
          <w:rPr>
            <w:rStyle w:val="Hyperlink"/>
            <w:rFonts w:ascii="Cambria" w:eastAsia="Times New Roman" w:hAnsi="Cambria" w:cs="Times New Roman"/>
            <w:i/>
            <w:iCs/>
            <w:sz w:val="24"/>
            <w:szCs w:val="24"/>
            <w:lang w:eastAsia="x-none"/>
          </w:rPr>
          <w:t>Financial Reporting Requirements</w:t>
        </w:r>
      </w:hyperlink>
      <w:r w:rsidRPr="004F44A2">
        <w:rPr>
          <w:rFonts w:ascii="Cambria" w:eastAsia="Times New Roman" w:hAnsi="Cambria" w:cs="Times New Roman"/>
          <w:sz w:val="24"/>
          <w:szCs w:val="24"/>
          <w:lang w:eastAsia="x-none"/>
        </w:rPr>
        <w:t xml:space="preserve">. The annual agency financial reports are available on the </w:t>
      </w:r>
      <w:hyperlink r:id="rId23" w:history="1">
        <w:r w:rsidRPr="004F44A2">
          <w:rPr>
            <w:rFonts w:ascii="Cambria" w:eastAsia="Times New Roman" w:hAnsi="Cambria" w:cs="Times New Roman"/>
            <w:color w:val="0563C1"/>
            <w:sz w:val="24"/>
            <w:szCs w:val="24"/>
            <w:u w:val="single"/>
            <w:lang w:eastAsia="x-none"/>
          </w:rPr>
          <w:t>PCLOB website</w:t>
        </w:r>
      </w:hyperlink>
      <w:r w:rsidRPr="004F44A2">
        <w:rPr>
          <w:rFonts w:ascii="Cambria" w:eastAsia="Times New Roman" w:hAnsi="Cambria" w:cs="Times New Roman"/>
          <w:sz w:val="24"/>
          <w:szCs w:val="24"/>
          <w:lang w:eastAsia="x-none"/>
        </w:rPr>
        <w:t>.</w:t>
      </w:r>
      <w:r w:rsidR="00556656" w:rsidRPr="00556656">
        <w:rPr>
          <w:noProof/>
        </w:rPr>
        <w:t xml:space="preserve"> </w:t>
      </w:r>
    </w:p>
    <w:p w14:paraId="1AD1F81C" w14:textId="1BD76AA3" w:rsidR="00AA71CF" w:rsidRPr="00F51227" w:rsidRDefault="00AA71CF" w:rsidP="00A47B91">
      <w:pPr>
        <w:pStyle w:val="Heading2"/>
        <w:rPr>
          <w:sz w:val="24"/>
          <w:szCs w:val="24"/>
          <w:u w:val="single"/>
        </w:rPr>
      </w:pPr>
      <w:bookmarkStart w:id="18" w:name="_Toc179295648"/>
      <w:bookmarkStart w:id="19" w:name="_Toc212119648"/>
      <w:bookmarkStart w:id="20" w:name="_Toc213421222"/>
      <w:r w:rsidRPr="00F51227">
        <w:t>PCLOB’s Pathway to an Agency Financial Report</w:t>
      </w:r>
      <w:bookmarkEnd w:id="18"/>
      <w:bookmarkEnd w:id="19"/>
      <w:bookmarkEnd w:id="20"/>
    </w:p>
    <w:p w14:paraId="0428048C" w14:textId="29405A85" w:rsidR="00AA71CF" w:rsidRPr="002E6E23" w:rsidRDefault="00AA71CF" w:rsidP="0019237F">
      <w:pPr>
        <w:spacing w:line="276" w:lineRule="auto"/>
        <w:jc w:val="both"/>
        <w:rPr>
          <w:rFonts w:ascii="Cambria" w:hAnsi="Cambria"/>
          <w:sz w:val="24"/>
          <w:szCs w:val="24"/>
        </w:rPr>
      </w:pPr>
      <w:r w:rsidRPr="002E6E23">
        <w:rPr>
          <w:rFonts w:ascii="Cambria" w:hAnsi="Cambria"/>
          <w:sz w:val="24"/>
          <w:szCs w:val="24"/>
        </w:rPr>
        <w:t>PCLOB’s first-ever financial statement audit in FY 2018 resulted in the auditor’s inability to render an audit opinion, prompting the development of a solid foundation of control activities, policies, and procedures to address the audit weaknesses identified. This diligence paid off, enabling the agency to obtain an unmodified (clean) audit opinion over PCLOB’s FY 2019 financial statements with no new audit findings and no required audit adjustments</w:t>
      </w:r>
      <w:r w:rsidR="00335ADA">
        <w:rPr>
          <w:rFonts w:ascii="Cambria" w:hAnsi="Cambria"/>
          <w:sz w:val="24"/>
          <w:szCs w:val="24"/>
        </w:rPr>
        <w:t>—</w:t>
      </w:r>
      <w:r w:rsidRPr="002E6E23">
        <w:rPr>
          <w:rFonts w:ascii="Cambria" w:hAnsi="Cambria"/>
          <w:sz w:val="24"/>
          <w:szCs w:val="24"/>
        </w:rPr>
        <w:t xml:space="preserve">a significant achievement for a small, maturing agency. </w:t>
      </w:r>
    </w:p>
    <w:p w14:paraId="0E430F15" w14:textId="10E02D85" w:rsidR="00AA71CF" w:rsidRPr="002E6E23" w:rsidRDefault="00313944" w:rsidP="0019237F">
      <w:pPr>
        <w:spacing w:line="276" w:lineRule="auto"/>
        <w:jc w:val="both"/>
        <w:rPr>
          <w:rFonts w:ascii="Cambria" w:eastAsia="Times New Roman" w:hAnsi="Cambria"/>
          <w:sz w:val="24"/>
          <w:szCs w:val="24"/>
        </w:rPr>
      </w:pPr>
      <w:r>
        <w:rPr>
          <w:rFonts w:ascii="Cambria" w:eastAsia="Times New Roman" w:hAnsi="Cambria"/>
          <w:noProof/>
          <w:color w:val="000000"/>
          <w:sz w:val="24"/>
          <w:szCs w:val="24"/>
        </w:rPr>
        <w:drawing>
          <wp:anchor distT="0" distB="0" distL="114300" distR="114300" simplePos="0" relativeHeight="252217856" behindDoc="0" locked="0" layoutInCell="1" allowOverlap="1" wp14:anchorId="026EEECD" wp14:editId="22B20936">
            <wp:simplePos x="0" y="0"/>
            <wp:positionH relativeFrom="column">
              <wp:posOffset>2169160</wp:posOffset>
            </wp:positionH>
            <wp:positionV relativeFrom="page">
              <wp:posOffset>6365240</wp:posOffset>
            </wp:positionV>
            <wp:extent cx="3802380" cy="2534920"/>
            <wp:effectExtent l="0" t="0" r="7620" b="0"/>
            <wp:wrapSquare wrapText="bothSides"/>
            <wp:docPr id="46380610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06109" name="Picture 65"/>
                    <pic:cNvPicPr/>
                  </pic:nvPicPr>
                  <pic:blipFill>
                    <a:blip r:embed="rId24"/>
                    <a:stretch>
                      <a:fillRect/>
                    </a:stretch>
                  </pic:blipFill>
                  <pic:spPr>
                    <a:xfrm>
                      <a:off x="0" y="0"/>
                      <a:ext cx="3802380" cy="2534920"/>
                    </a:xfrm>
                    <a:prstGeom prst="rect">
                      <a:avLst/>
                    </a:prstGeom>
                  </pic:spPr>
                </pic:pic>
              </a:graphicData>
            </a:graphic>
            <wp14:sizeRelH relativeFrom="margin">
              <wp14:pctWidth>0</wp14:pctWidth>
            </wp14:sizeRelH>
            <wp14:sizeRelV relativeFrom="margin">
              <wp14:pctHeight>0</wp14:pctHeight>
            </wp14:sizeRelV>
          </wp:anchor>
        </w:drawing>
      </w:r>
      <w:r w:rsidR="00EF34CB">
        <w:rPr>
          <w:rFonts w:ascii="Cambria" w:eastAsia="Calibri" w:hAnsi="Cambria" w:cs="Times New Roman"/>
          <w:b/>
          <w:bCs/>
          <w:smallCaps/>
          <w:noProof/>
          <w:color w:val="002060"/>
          <w:sz w:val="28"/>
          <w:szCs w:val="28"/>
        </w:rPr>
        <mc:AlternateContent>
          <mc:Choice Requires="wps">
            <w:drawing>
              <wp:anchor distT="0" distB="0" distL="114300" distR="114300" simplePos="0" relativeHeight="252219904" behindDoc="0" locked="0" layoutInCell="1" allowOverlap="1" wp14:anchorId="09F4F613" wp14:editId="033EFE65">
                <wp:simplePos x="0" y="0"/>
                <wp:positionH relativeFrom="page">
                  <wp:posOffset>4337050</wp:posOffset>
                </wp:positionH>
                <wp:positionV relativeFrom="page">
                  <wp:posOffset>8897620</wp:posOffset>
                </wp:positionV>
                <wp:extent cx="2628900" cy="204470"/>
                <wp:effectExtent l="0" t="0" r="0" b="5080"/>
                <wp:wrapNone/>
                <wp:docPr id="1161548056" name="Text Box 77"/>
                <wp:cNvGraphicFramePr/>
                <a:graphic xmlns:a="http://schemas.openxmlformats.org/drawingml/2006/main">
                  <a:graphicData uri="http://schemas.microsoft.com/office/word/2010/wordprocessingShape">
                    <wps:wsp>
                      <wps:cNvSpPr txBox="1"/>
                      <wps:spPr>
                        <a:xfrm>
                          <a:off x="0" y="0"/>
                          <a:ext cx="2628900" cy="204470"/>
                        </a:xfrm>
                        <a:prstGeom prst="rect">
                          <a:avLst/>
                        </a:prstGeom>
                        <a:noFill/>
                        <a:ln w="6350">
                          <a:noFill/>
                        </a:ln>
                      </wps:spPr>
                      <wps:txbx>
                        <w:txbxContent>
                          <w:p w14:paraId="659B5147" w14:textId="7F68C95B" w:rsidR="00327989" w:rsidRPr="00AD7A93" w:rsidRDefault="00327989" w:rsidP="00327989">
                            <w:pPr>
                              <w:jc w:val="right"/>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Andrew S.</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4F613" id="Text Box 77" o:spid="_x0000_s1029" type="#_x0000_t202" style="position:absolute;left:0;text-align:left;margin-left:341.5pt;margin-top:700.6pt;width:207pt;height:16.1pt;z-index:25221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" filled="f" stroked="f" strokeweight=".5pt">
                <v:textbox>
                  <w:txbxContent>
                    <w:p w14:paraId="659B5147" w14:textId="7F68C95B" w:rsidR="00327989" w:rsidRPr="00AD7A93" w:rsidRDefault="00327989" w:rsidP="00327989">
                      <w:pPr>
                        <w:jc w:val="right"/>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Andrew S.</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v:textbox>
                <w10:wrap anchorx="page" anchory="page"/>
              </v:shape>
            </w:pict>
          </mc:Fallback>
        </mc:AlternateContent>
      </w:r>
      <w:r w:rsidR="00AA71CF" w:rsidRPr="002E6E23">
        <w:rPr>
          <w:rFonts w:ascii="Cambria" w:hAnsi="Cambria"/>
          <w:sz w:val="24"/>
          <w:szCs w:val="24"/>
        </w:rPr>
        <w:t xml:space="preserve">In FY 2020, as PCLOB continued to seek areas for operational improvement and growth </w:t>
      </w:r>
      <w:r w:rsidR="00AA71CF" w:rsidRPr="002E6E23">
        <w:rPr>
          <w:rFonts w:ascii="Cambria" w:eastAsia="Times New Roman" w:hAnsi="Cambria"/>
          <w:sz w:val="24"/>
          <w:szCs w:val="24"/>
        </w:rPr>
        <w:t>by further refining and strengthening its accounting practices and appointing a Chief Financial Officer</w:t>
      </w:r>
      <w:r w:rsidR="00327989">
        <w:rPr>
          <w:rFonts w:ascii="Cambria" w:eastAsia="Times New Roman" w:hAnsi="Cambria"/>
          <w:sz w:val="24"/>
          <w:szCs w:val="24"/>
        </w:rPr>
        <w:t xml:space="preserve"> (CFO)</w:t>
      </w:r>
      <w:r w:rsidR="00AA71CF" w:rsidRPr="002E6E23">
        <w:rPr>
          <w:rFonts w:ascii="Cambria" w:eastAsia="Times New Roman" w:hAnsi="Cambria"/>
          <w:sz w:val="24"/>
          <w:szCs w:val="24"/>
        </w:rPr>
        <w:t xml:space="preserve">, the agency issued its first-ever AFR. PCLOB’s issuance of an AFR represented a significant achievement for the agency, indicating </w:t>
      </w:r>
      <w:r w:rsidR="00C04398">
        <w:rPr>
          <w:rFonts w:ascii="Cambria" w:eastAsia="Times New Roman" w:hAnsi="Cambria"/>
          <w:sz w:val="24"/>
          <w:szCs w:val="24"/>
        </w:rPr>
        <w:t>substantial</w:t>
      </w:r>
      <w:r w:rsidR="00C04398" w:rsidRPr="002E6E23" w:rsidDel="00C04398">
        <w:rPr>
          <w:rFonts w:ascii="Cambria" w:eastAsia="Times New Roman" w:hAnsi="Cambria"/>
          <w:sz w:val="24"/>
          <w:szCs w:val="24"/>
        </w:rPr>
        <w:t xml:space="preserve"> </w:t>
      </w:r>
      <w:r w:rsidR="00AA71CF" w:rsidRPr="002E6E23">
        <w:rPr>
          <w:rFonts w:ascii="Cambria" w:eastAsia="Times New Roman" w:hAnsi="Cambria"/>
          <w:sz w:val="24"/>
          <w:szCs w:val="24"/>
        </w:rPr>
        <w:t xml:space="preserve">growth in its capacity to not only achieve </w:t>
      </w:r>
      <w:r w:rsidR="00AA71CF" w:rsidRPr="002E6E23">
        <w:rPr>
          <w:rFonts w:ascii="Cambria" w:eastAsia="Times New Roman" w:hAnsi="Cambria"/>
          <w:sz w:val="24"/>
          <w:szCs w:val="24"/>
        </w:rPr>
        <w:lastRenderedPageBreak/>
        <w:t xml:space="preserve">sound financial management but to faithfully report to the public in full compliance with guidelines and requirements established by </w:t>
      </w:r>
      <w:r w:rsidR="00595D79">
        <w:rPr>
          <w:rFonts w:ascii="Cambria" w:eastAsia="Times New Roman" w:hAnsi="Cambria"/>
          <w:sz w:val="24"/>
          <w:szCs w:val="24"/>
        </w:rPr>
        <w:t>OMB</w:t>
      </w:r>
      <w:r w:rsidR="00AA71CF" w:rsidRPr="002E6E23">
        <w:rPr>
          <w:rFonts w:ascii="Cambria" w:eastAsia="Times New Roman" w:hAnsi="Cambria"/>
          <w:sz w:val="24"/>
          <w:szCs w:val="24"/>
        </w:rPr>
        <w:t xml:space="preserve"> and other </w:t>
      </w:r>
      <w:r w:rsidR="00C41E31">
        <w:rPr>
          <w:rFonts w:ascii="Cambria" w:eastAsia="Times New Roman" w:hAnsi="Cambria"/>
          <w:sz w:val="24"/>
          <w:szCs w:val="24"/>
        </w:rPr>
        <w:t>relevant</w:t>
      </w:r>
      <w:r w:rsidR="00C41E31" w:rsidRPr="002E6E23">
        <w:rPr>
          <w:rFonts w:ascii="Cambria" w:eastAsia="Times New Roman" w:hAnsi="Cambria"/>
          <w:sz w:val="24"/>
          <w:szCs w:val="24"/>
        </w:rPr>
        <w:t xml:space="preserve"> </w:t>
      </w:r>
      <w:r w:rsidR="00AA71CF" w:rsidRPr="002E6E23">
        <w:rPr>
          <w:rFonts w:ascii="Cambria" w:eastAsia="Times New Roman" w:hAnsi="Cambria"/>
          <w:sz w:val="24"/>
          <w:szCs w:val="24"/>
        </w:rPr>
        <w:t>entities.</w:t>
      </w:r>
    </w:p>
    <w:p w14:paraId="06E442C6" w14:textId="216F785E" w:rsidR="00556656" w:rsidRDefault="00AA71CF" w:rsidP="007A6E0A">
      <w:pPr>
        <w:spacing w:before="240" w:line="276" w:lineRule="auto"/>
        <w:jc w:val="both"/>
        <w:rPr>
          <w:rFonts w:ascii="Cambria" w:eastAsia="Times New Roman" w:hAnsi="Cambria"/>
          <w:color w:val="000000"/>
          <w:sz w:val="24"/>
          <w:szCs w:val="24"/>
        </w:rPr>
      </w:pPr>
      <w:r>
        <w:rPr>
          <w:rFonts w:ascii="Cambria" w:eastAsia="Times New Roman" w:hAnsi="Cambria"/>
          <w:color w:val="000000"/>
          <w:sz w:val="24"/>
          <w:szCs w:val="24"/>
        </w:rPr>
        <w:t xml:space="preserve">This </w:t>
      </w:r>
      <w:r w:rsidR="00C41E31">
        <w:rPr>
          <w:rFonts w:ascii="Cambria" w:eastAsia="Times New Roman" w:hAnsi="Cambria"/>
          <w:color w:val="000000"/>
          <w:sz w:val="24"/>
          <w:szCs w:val="24"/>
        </w:rPr>
        <w:t xml:space="preserve">FY 2025 </w:t>
      </w:r>
      <w:r>
        <w:rPr>
          <w:rFonts w:ascii="Cambria" w:eastAsia="Times New Roman" w:hAnsi="Cambria"/>
          <w:color w:val="000000"/>
          <w:sz w:val="24"/>
          <w:szCs w:val="24"/>
        </w:rPr>
        <w:t xml:space="preserve">report </w:t>
      </w:r>
      <w:r w:rsidR="004229AB">
        <w:rPr>
          <w:rFonts w:ascii="Cambria" w:eastAsia="Times New Roman" w:hAnsi="Cambria"/>
          <w:color w:val="000000"/>
          <w:sz w:val="24"/>
          <w:szCs w:val="24"/>
        </w:rPr>
        <w:t>is</w:t>
      </w:r>
      <w:r>
        <w:rPr>
          <w:rFonts w:ascii="Cambria" w:eastAsia="Times New Roman" w:hAnsi="Cambria"/>
          <w:color w:val="000000"/>
          <w:sz w:val="24"/>
          <w:szCs w:val="24"/>
        </w:rPr>
        <w:t xml:space="preserve"> the </w:t>
      </w:r>
      <w:r w:rsidR="0049075B">
        <w:rPr>
          <w:rFonts w:ascii="Cambria" w:eastAsia="Times New Roman" w:hAnsi="Cambria"/>
          <w:color w:val="000000"/>
          <w:sz w:val="24"/>
          <w:szCs w:val="24"/>
        </w:rPr>
        <w:t>sixth</w:t>
      </w:r>
      <w:r>
        <w:rPr>
          <w:rFonts w:ascii="Cambria" w:eastAsia="Times New Roman" w:hAnsi="Cambria"/>
          <w:color w:val="000000"/>
          <w:sz w:val="24"/>
          <w:szCs w:val="24"/>
        </w:rPr>
        <w:t xml:space="preserve"> AFR issued by PCLOB.</w:t>
      </w:r>
    </w:p>
    <w:p w14:paraId="62AAD7D9" w14:textId="2CEB6F81" w:rsidR="00556656" w:rsidRDefault="00CF358A" w:rsidP="00B83A39">
      <w:pPr>
        <w:spacing w:after="0"/>
        <w:rPr>
          <w:rFonts w:ascii="Cambria" w:eastAsia="Times New Roman" w:hAnsi="Cambria"/>
          <w:color w:val="000000"/>
          <w:sz w:val="24"/>
          <w:szCs w:val="24"/>
        </w:rPr>
      </w:pPr>
      <w:r w:rsidRPr="00D038F9">
        <w:rPr>
          <w:rFonts w:ascii="Cambria" w:hAnsi="Cambria"/>
          <w:noProof/>
          <w:color w:val="FFFFFF" w:themeColor="background1"/>
          <w:sz w:val="25"/>
          <w:szCs w:val="25"/>
        </w:rPr>
        <w:drawing>
          <wp:anchor distT="0" distB="0" distL="114300" distR="114300" simplePos="0" relativeHeight="252142080" behindDoc="0" locked="0" layoutInCell="1" allowOverlap="1" wp14:anchorId="24D41AAA" wp14:editId="5D3377DB">
            <wp:simplePos x="0" y="0"/>
            <wp:positionH relativeFrom="column">
              <wp:posOffset>2671890</wp:posOffset>
            </wp:positionH>
            <wp:positionV relativeFrom="paragraph">
              <wp:posOffset>2540635</wp:posOffset>
            </wp:positionV>
            <wp:extent cx="3031490" cy="3819525"/>
            <wp:effectExtent l="57150" t="57150" r="111760" b="123825"/>
            <wp:wrapSquare wrapText="bothSides"/>
            <wp:docPr id="1903362134"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62134" name="Picture 1" descr="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31490" cy="3819525"/>
                    </a:xfrm>
                    <a:prstGeom prst="rect">
                      <a:avLst/>
                    </a:prstGeom>
                    <a:ln w="1905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F2074">
        <w:rPr>
          <w:rFonts w:ascii="Cambria" w:hAnsi="Cambria"/>
          <w:b/>
          <w:bCs/>
          <w:smallCaps/>
          <w:noProof/>
          <w:color w:val="FFFFFF" w:themeColor="background1"/>
          <w:spacing w:val="10"/>
          <w:sz w:val="30"/>
          <w:szCs w:val="30"/>
        </w:rPr>
        <mc:AlternateContent>
          <mc:Choice Requires="wps">
            <w:drawing>
              <wp:anchor distT="0" distB="0" distL="114300" distR="114300" simplePos="0" relativeHeight="251636222" behindDoc="1" locked="0" layoutInCell="1" allowOverlap="1" wp14:anchorId="54F55BDA" wp14:editId="5F217377">
                <wp:simplePos x="0" y="0"/>
                <wp:positionH relativeFrom="page">
                  <wp:posOffset>928748</wp:posOffset>
                </wp:positionH>
                <wp:positionV relativeFrom="paragraph">
                  <wp:posOffset>95275</wp:posOffset>
                </wp:positionV>
                <wp:extent cx="6030191" cy="6734175"/>
                <wp:effectExtent l="38100" t="38100" r="123190" b="123825"/>
                <wp:wrapNone/>
                <wp:docPr id="1615365526" name="Rectangle 18"/>
                <wp:cNvGraphicFramePr/>
                <a:graphic xmlns:a="http://schemas.openxmlformats.org/drawingml/2006/main">
                  <a:graphicData uri="http://schemas.microsoft.com/office/word/2010/wordprocessingShape">
                    <wps:wsp>
                      <wps:cNvSpPr/>
                      <wps:spPr>
                        <a:xfrm>
                          <a:off x="0" y="0"/>
                          <a:ext cx="6030191" cy="6734175"/>
                        </a:xfrm>
                        <a:prstGeom prst="rect">
                          <a:avLst/>
                        </a:prstGeom>
                        <a:solidFill>
                          <a:srgbClr val="424E62"/>
                        </a:solidFill>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2FFA876" w14:textId="77777777" w:rsidR="00327989" w:rsidRDefault="00327989" w:rsidP="00551CC7">
                            <w:pPr>
                              <w:spacing w:after="0" w:line="276" w:lineRule="auto"/>
                              <w:jc w:val="both"/>
                              <w:rPr>
                                <w:rFonts w:ascii="Cambria" w:hAnsi="Cambria"/>
                                <w:b/>
                                <w:bCs/>
                                <w:smallCaps/>
                                <w:color w:val="FFFFFF" w:themeColor="background1"/>
                                <w:spacing w:val="10"/>
                                <w:sz w:val="30"/>
                                <w:szCs w:val="30"/>
                              </w:rPr>
                            </w:pPr>
                          </w:p>
                          <w:p w14:paraId="1B7FCCFB" w14:textId="5BB111AB" w:rsidR="00327989" w:rsidRPr="00EF2074" w:rsidRDefault="00327989" w:rsidP="00551CC7">
                            <w:pPr>
                              <w:spacing w:line="276" w:lineRule="auto"/>
                              <w:ind w:right="270"/>
                              <w:jc w:val="center"/>
                              <w:rPr>
                                <w:rFonts w:ascii="Cambria" w:hAnsi="Cambria"/>
                                <w:b/>
                                <w:bCs/>
                                <w:smallCaps/>
                                <w:color w:val="FFFFFF" w:themeColor="background1"/>
                                <w:spacing w:val="10"/>
                                <w:sz w:val="30"/>
                                <w:szCs w:val="30"/>
                              </w:rPr>
                            </w:pPr>
                            <w:r w:rsidRPr="00EF2074">
                              <w:rPr>
                                <w:rFonts w:ascii="Cambria" w:hAnsi="Cambria"/>
                                <w:b/>
                                <w:bCs/>
                                <w:smallCaps/>
                                <w:color w:val="FFFFFF" w:themeColor="background1"/>
                                <w:spacing w:val="10"/>
                                <w:sz w:val="30"/>
                                <w:szCs w:val="30"/>
                              </w:rPr>
                              <w:t>Certificate of Excellence in Accountability Reporting</w:t>
                            </w:r>
                          </w:p>
                          <w:p w14:paraId="33489387" w14:textId="77777777" w:rsidR="008803C1" w:rsidRDefault="00327989" w:rsidP="00551CC7">
                            <w:pPr>
                              <w:tabs>
                                <w:tab w:val="left" w:pos="4230"/>
                                <w:tab w:val="left" w:pos="8820"/>
                              </w:tabs>
                              <w:spacing w:before="360" w:after="0" w:line="276" w:lineRule="auto"/>
                              <w:ind w:left="270" w:right="270"/>
                              <w:jc w:val="both"/>
                              <w:rPr>
                                <w:rFonts w:ascii="Cambria" w:hAnsi="Cambria"/>
                                <w:color w:val="FFFFFF" w:themeColor="background1"/>
                                <w:sz w:val="25"/>
                                <w:szCs w:val="25"/>
                              </w:rPr>
                            </w:pPr>
                            <w:r w:rsidRPr="00EF2074">
                              <w:rPr>
                                <w:rFonts w:ascii="Cambria" w:hAnsi="Cambria"/>
                                <w:color w:val="FFFFFF" w:themeColor="background1"/>
                                <w:sz w:val="25"/>
                                <w:szCs w:val="25"/>
                              </w:rPr>
                              <w:t xml:space="preserve">In May </w:t>
                            </w:r>
                            <w:r>
                              <w:rPr>
                                <w:rFonts w:ascii="Cambria" w:hAnsi="Cambria"/>
                                <w:color w:val="FFFFFF" w:themeColor="background1"/>
                                <w:sz w:val="25"/>
                                <w:szCs w:val="25"/>
                              </w:rPr>
                              <w:t>2025</w:t>
                            </w:r>
                            <w:r w:rsidRPr="00EF2074">
                              <w:rPr>
                                <w:rFonts w:ascii="Cambria" w:hAnsi="Cambria"/>
                                <w:color w:val="FFFFFF" w:themeColor="background1"/>
                                <w:sz w:val="25"/>
                                <w:szCs w:val="25"/>
                              </w:rPr>
                              <w:t xml:space="preserve">, </w:t>
                            </w:r>
                            <w:r>
                              <w:rPr>
                                <w:rFonts w:ascii="Cambria" w:hAnsi="Cambria"/>
                                <w:color w:val="FFFFFF" w:themeColor="background1"/>
                                <w:sz w:val="25"/>
                                <w:szCs w:val="25"/>
                              </w:rPr>
                              <w:t>PCLOB</w:t>
                            </w:r>
                            <w:r w:rsidRPr="00EF2074">
                              <w:rPr>
                                <w:rFonts w:ascii="Cambria" w:hAnsi="Cambria"/>
                                <w:color w:val="FFFFFF" w:themeColor="background1"/>
                                <w:sz w:val="25"/>
                                <w:szCs w:val="25"/>
                              </w:rPr>
                              <w:t xml:space="preserve"> received the Certificate of Excellence in Accountability Reporting (CEAR) award from the AGA for its </w:t>
                            </w:r>
                            <w:r>
                              <w:rPr>
                                <w:rFonts w:ascii="Cambria" w:hAnsi="Cambria"/>
                                <w:color w:val="FFFFFF" w:themeColor="background1"/>
                                <w:sz w:val="25"/>
                                <w:szCs w:val="25"/>
                              </w:rPr>
                              <w:t>FY</w:t>
                            </w:r>
                            <w:r w:rsidRPr="00EF2074">
                              <w:rPr>
                                <w:rFonts w:ascii="Cambria" w:hAnsi="Cambria"/>
                                <w:color w:val="FFFFFF" w:themeColor="background1"/>
                                <w:sz w:val="25"/>
                                <w:szCs w:val="25"/>
                              </w:rPr>
                              <w:t xml:space="preserve"> 202</w:t>
                            </w:r>
                            <w:r>
                              <w:rPr>
                                <w:rFonts w:ascii="Cambria" w:hAnsi="Cambria"/>
                                <w:color w:val="FFFFFF" w:themeColor="background1"/>
                                <w:sz w:val="25"/>
                                <w:szCs w:val="25"/>
                              </w:rPr>
                              <w:t>4</w:t>
                            </w:r>
                            <w:r w:rsidRPr="00EF2074">
                              <w:rPr>
                                <w:rFonts w:ascii="Cambria" w:hAnsi="Cambria"/>
                                <w:color w:val="FFFFFF" w:themeColor="background1"/>
                                <w:sz w:val="25"/>
                                <w:szCs w:val="25"/>
                              </w:rPr>
                              <w:t xml:space="preserve"> </w:t>
                            </w:r>
                            <w:r>
                              <w:rPr>
                                <w:rFonts w:ascii="Cambria" w:hAnsi="Cambria"/>
                                <w:color w:val="FFFFFF" w:themeColor="background1"/>
                                <w:sz w:val="25"/>
                                <w:szCs w:val="25"/>
                              </w:rPr>
                              <w:t>AFR</w:t>
                            </w:r>
                            <w:r w:rsidRPr="00EF2074">
                              <w:rPr>
                                <w:rFonts w:ascii="Cambria" w:hAnsi="Cambria"/>
                                <w:color w:val="FFFFFF" w:themeColor="background1"/>
                                <w:sz w:val="25"/>
                                <w:szCs w:val="25"/>
                              </w:rPr>
                              <w:t>. The CEAR is the highest form of recognition in Federal Government management reporting. AGA, a professional association with a vision for advancing governmental accountability, established the CEAR Program in conjunction with the Chief Financial Officers Council to further</w:t>
                            </w:r>
                            <w:r>
                              <w:rPr>
                                <w:rFonts w:ascii="Cambria" w:hAnsi="Cambria"/>
                                <w:color w:val="FFFFFF" w:themeColor="background1"/>
                                <w:sz w:val="25"/>
                                <w:szCs w:val="25"/>
                              </w:rPr>
                              <w:t xml:space="preserve"> </w:t>
                            </w:r>
                            <w:r w:rsidRPr="00EF2074">
                              <w:rPr>
                                <w:rFonts w:ascii="Cambria" w:hAnsi="Cambria"/>
                                <w:color w:val="FFFFFF" w:themeColor="background1"/>
                                <w:sz w:val="25"/>
                                <w:szCs w:val="25"/>
                              </w:rPr>
                              <w:t xml:space="preserve">performance and accountability reporting. This is the </w:t>
                            </w:r>
                            <w:r>
                              <w:rPr>
                                <w:rFonts w:ascii="Cambria" w:hAnsi="Cambria"/>
                                <w:color w:val="FFFFFF" w:themeColor="background1"/>
                                <w:sz w:val="25"/>
                                <w:szCs w:val="25"/>
                              </w:rPr>
                              <w:t>third</w:t>
                            </w:r>
                            <w:r w:rsidRPr="00EF2074">
                              <w:rPr>
                                <w:rFonts w:ascii="Cambria" w:hAnsi="Cambria"/>
                                <w:color w:val="FFFFFF" w:themeColor="background1"/>
                                <w:sz w:val="25"/>
                                <w:szCs w:val="25"/>
                              </w:rPr>
                              <w:t xml:space="preserve"> consecutive year PCLOB has received the prestigious CEAR award.</w:t>
                            </w:r>
                          </w:p>
                          <w:p w14:paraId="1A4E94EA" w14:textId="06F2FFB6" w:rsidR="00327989" w:rsidRPr="00EF2074" w:rsidRDefault="008803C1" w:rsidP="00551CC7">
                            <w:pPr>
                              <w:tabs>
                                <w:tab w:val="left" w:pos="4230"/>
                                <w:tab w:val="left" w:pos="8820"/>
                              </w:tabs>
                              <w:spacing w:before="360" w:line="276" w:lineRule="auto"/>
                              <w:ind w:left="270" w:right="270"/>
                              <w:jc w:val="both"/>
                              <w:rPr>
                                <w:rFonts w:ascii="Cambria" w:hAnsi="Cambria"/>
                                <w:color w:val="FFFFFF" w:themeColor="background1"/>
                                <w:sz w:val="25"/>
                                <w:szCs w:val="25"/>
                              </w:rPr>
                            </w:pPr>
                            <w:r>
                              <w:rPr>
                                <w:noProof/>
                              </w:rPr>
                              <w:drawing>
                                <wp:inline distT="0" distB="0" distL="0" distR="0" wp14:anchorId="2BCA64E7" wp14:editId="63F488B1">
                                  <wp:extent cx="2800350" cy="3806825"/>
                                  <wp:effectExtent l="57150" t="57150" r="95250" b="98425"/>
                                  <wp:docPr id="1745457166" name="Picture 2" descr="Corinne Dougherty on LinkedIn: #kpmgfed #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inne Dougherty on LinkedIn: #kpmgfed #aga"/>
                                          <pic:cNvPicPr>
                                            <a:picLocks noChangeAspect="1" noChangeArrowheads="1"/>
                                          </pic:cNvPicPr>
                                        </pic:nvPicPr>
                                        <pic:blipFill rotWithShape="1">
                                          <a:blip r:embed="rId26">
                                            <a:extLst>
                                              <a:ext uri="{28A0092B-C50C-407E-A947-70E740481C1C}">
                                                <a14:useLocalDpi xmlns:a14="http://schemas.microsoft.com/office/drawing/2010/main" val="0"/>
                                              </a:ext>
                                            </a:extLst>
                                          </a:blip>
                                          <a:srcRect l="27197" r="31251"/>
                                          <a:stretch>
                                            <a:fillRect/>
                                          </a:stretch>
                                        </pic:blipFill>
                                        <pic:spPr bwMode="auto">
                                          <a:xfrm>
                                            <a:off x="0" y="0"/>
                                            <a:ext cx="2800350" cy="38068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C5E7F14" w14:textId="77777777" w:rsidR="00327989" w:rsidRDefault="00327989" w:rsidP="00327989">
                            <w:pPr>
                              <w:rPr>
                                <w:rFonts w:ascii="Cambria" w:eastAsia="Times New Roman" w:hAnsi="Cambria" w:cs="Times New Roman"/>
                                <w:b/>
                                <w:bCs/>
                                <w:sz w:val="28"/>
                                <w:szCs w:val="28"/>
                              </w:rPr>
                            </w:pPr>
                            <w:r>
                              <w:rPr>
                                <w:rFonts w:ascii="Cambria" w:eastAsia="Times New Roman" w:hAnsi="Cambria" w:cs="Times New Roman"/>
                                <w:b/>
                                <w:bCs/>
                                <w:sz w:val="28"/>
                                <w:szCs w:val="28"/>
                              </w:rPr>
                              <w:br w:type="page"/>
                            </w:r>
                          </w:p>
                          <w:p w14:paraId="488E807C" w14:textId="77777777" w:rsidR="00327989" w:rsidRDefault="00327989" w:rsidP="0032798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55BDA" id="Rectangle 18" o:spid="_x0000_s1030" style="position:absolute;margin-left:73.15pt;margin-top:7.5pt;width:474.8pt;height:530.25pt;z-index:-251680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" fillcolor="#424e62" strokecolor="#0b0f19 [484]" strokeweight="1pt">
                <v:shadow on="t" color="black" opacity="26214f" origin="-.5,-.5" offset=".74836mm,.74836mm"/>
                <v:textbox>
                  <w:txbxContent>
                    <w:p w14:paraId="32FFA876" w14:textId="77777777" w:rsidR="00327989" w:rsidRDefault="00327989" w:rsidP="00551CC7">
                      <w:pPr>
                        <w:spacing w:after="0" w:line="276" w:lineRule="auto"/>
                        <w:jc w:val="both"/>
                        <w:rPr>
                          <w:rFonts w:ascii="Cambria" w:hAnsi="Cambria"/>
                          <w:b/>
                          <w:bCs/>
                          <w:smallCaps/>
                          <w:color w:val="FFFFFF" w:themeColor="background1"/>
                          <w:spacing w:val="10"/>
                          <w:sz w:val="30"/>
                          <w:szCs w:val="30"/>
                        </w:rPr>
                      </w:pPr>
                    </w:p>
                    <w:p w14:paraId="1B7FCCFB" w14:textId="5BB111AB" w:rsidR="00327989" w:rsidRPr="00EF2074" w:rsidRDefault="00327989" w:rsidP="00551CC7">
                      <w:pPr>
                        <w:spacing w:line="276" w:lineRule="auto"/>
                        <w:ind w:right="270"/>
                        <w:jc w:val="center"/>
                        <w:rPr>
                          <w:rFonts w:ascii="Cambria" w:hAnsi="Cambria"/>
                          <w:b/>
                          <w:bCs/>
                          <w:smallCaps/>
                          <w:color w:val="FFFFFF" w:themeColor="background1"/>
                          <w:spacing w:val="10"/>
                          <w:sz w:val="30"/>
                          <w:szCs w:val="30"/>
                        </w:rPr>
                      </w:pPr>
                      <w:r w:rsidRPr="00EF2074">
                        <w:rPr>
                          <w:rFonts w:ascii="Cambria" w:hAnsi="Cambria"/>
                          <w:b/>
                          <w:bCs/>
                          <w:smallCaps/>
                          <w:color w:val="FFFFFF" w:themeColor="background1"/>
                          <w:spacing w:val="10"/>
                          <w:sz w:val="30"/>
                          <w:szCs w:val="30"/>
                        </w:rPr>
                        <w:t>Certificate of Excellence in Accountability Reporting</w:t>
                      </w:r>
                    </w:p>
                    <w:p w14:paraId="33489387" w14:textId="77777777" w:rsidR="008803C1" w:rsidRDefault="00327989" w:rsidP="00551CC7">
                      <w:pPr>
                        <w:tabs>
                          <w:tab w:val="left" w:pos="4230"/>
                          <w:tab w:val="left" w:pos="8820"/>
                        </w:tabs>
                        <w:spacing w:before="360" w:after="0" w:line="276" w:lineRule="auto"/>
                        <w:ind w:left="270" w:right="270"/>
                        <w:jc w:val="both"/>
                        <w:rPr>
                          <w:rFonts w:ascii="Cambria" w:hAnsi="Cambria"/>
                          <w:color w:val="FFFFFF" w:themeColor="background1"/>
                          <w:sz w:val="25"/>
                          <w:szCs w:val="25"/>
                        </w:rPr>
                      </w:pPr>
                      <w:r w:rsidRPr="00EF2074">
                        <w:rPr>
                          <w:rFonts w:ascii="Cambria" w:hAnsi="Cambria"/>
                          <w:color w:val="FFFFFF" w:themeColor="background1"/>
                          <w:sz w:val="25"/>
                          <w:szCs w:val="25"/>
                        </w:rPr>
                        <w:t xml:space="preserve">In May </w:t>
                      </w:r>
                      <w:r>
                        <w:rPr>
                          <w:rFonts w:ascii="Cambria" w:hAnsi="Cambria"/>
                          <w:color w:val="FFFFFF" w:themeColor="background1"/>
                          <w:sz w:val="25"/>
                          <w:szCs w:val="25"/>
                        </w:rPr>
                        <w:t>2025</w:t>
                      </w:r>
                      <w:r w:rsidRPr="00EF2074">
                        <w:rPr>
                          <w:rFonts w:ascii="Cambria" w:hAnsi="Cambria"/>
                          <w:color w:val="FFFFFF" w:themeColor="background1"/>
                          <w:sz w:val="25"/>
                          <w:szCs w:val="25"/>
                        </w:rPr>
                        <w:t xml:space="preserve">, </w:t>
                      </w:r>
                      <w:r>
                        <w:rPr>
                          <w:rFonts w:ascii="Cambria" w:hAnsi="Cambria"/>
                          <w:color w:val="FFFFFF" w:themeColor="background1"/>
                          <w:sz w:val="25"/>
                          <w:szCs w:val="25"/>
                        </w:rPr>
                        <w:t>PCLOB</w:t>
                      </w:r>
                      <w:r w:rsidRPr="00EF2074">
                        <w:rPr>
                          <w:rFonts w:ascii="Cambria" w:hAnsi="Cambria"/>
                          <w:color w:val="FFFFFF" w:themeColor="background1"/>
                          <w:sz w:val="25"/>
                          <w:szCs w:val="25"/>
                        </w:rPr>
                        <w:t xml:space="preserve"> received the Certificate of Excellence in Accountability Reporting (CEAR) award from the AGA for its </w:t>
                      </w:r>
                      <w:r>
                        <w:rPr>
                          <w:rFonts w:ascii="Cambria" w:hAnsi="Cambria"/>
                          <w:color w:val="FFFFFF" w:themeColor="background1"/>
                          <w:sz w:val="25"/>
                          <w:szCs w:val="25"/>
                        </w:rPr>
                        <w:t>FY</w:t>
                      </w:r>
                      <w:r w:rsidRPr="00EF2074">
                        <w:rPr>
                          <w:rFonts w:ascii="Cambria" w:hAnsi="Cambria"/>
                          <w:color w:val="FFFFFF" w:themeColor="background1"/>
                          <w:sz w:val="25"/>
                          <w:szCs w:val="25"/>
                        </w:rPr>
                        <w:t xml:space="preserve"> 202</w:t>
                      </w:r>
                      <w:r>
                        <w:rPr>
                          <w:rFonts w:ascii="Cambria" w:hAnsi="Cambria"/>
                          <w:color w:val="FFFFFF" w:themeColor="background1"/>
                          <w:sz w:val="25"/>
                          <w:szCs w:val="25"/>
                        </w:rPr>
                        <w:t>4</w:t>
                      </w:r>
                      <w:r w:rsidRPr="00EF2074">
                        <w:rPr>
                          <w:rFonts w:ascii="Cambria" w:hAnsi="Cambria"/>
                          <w:color w:val="FFFFFF" w:themeColor="background1"/>
                          <w:sz w:val="25"/>
                          <w:szCs w:val="25"/>
                        </w:rPr>
                        <w:t xml:space="preserve"> </w:t>
                      </w:r>
                      <w:r>
                        <w:rPr>
                          <w:rFonts w:ascii="Cambria" w:hAnsi="Cambria"/>
                          <w:color w:val="FFFFFF" w:themeColor="background1"/>
                          <w:sz w:val="25"/>
                          <w:szCs w:val="25"/>
                        </w:rPr>
                        <w:t>AFR</w:t>
                      </w:r>
                      <w:r w:rsidRPr="00EF2074">
                        <w:rPr>
                          <w:rFonts w:ascii="Cambria" w:hAnsi="Cambria"/>
                          <w:color w:val="FFFFFF" w:themeColor="background1"/>
                          <w:sz w:val="25"/>
                          <w:szCs w:val="25"/>
                        </w:rPr>
                        <w:t>. The CEAR is the highest form of recognition in Federal Government management reporting. AGA, a professional association with a vision for advancing governmental accountability, established the CEAR Program in conjunction with the Chief Financial Officers Council to further</w:t>
                      </w:r>
                      <w:r>
                        <w:rPr>
                          <w:rFonts w:ascii="Cambria" w:hAnsi="Cambria"/>
                          <w:color w:val="FFFFFF" w:themeColor="background1"/>
                          <w:sz w:val="25"/>
                          <w:szCs w:val="25"/>
                        </w:rPr>
                        <w:t xml:space="preserve"> </w:t>
                      </w:r>
                      <w:r w:rsidRPr="00EF2074">
                        <w:rPr>
                          <w:rFonts w:ascii="Cambria" w:hAnsi="Cambria"/>
                          <w:color w:val="FFFFFF" w:themeColor="background1"/>
                          <w:sz w:val="25"/>
                          <w:szCs w:val="25"/>
                        </w:rPr>
                        <w:t xml:space="preserve">performance and accountability reporting. This is the </w:t>
                      </w:r>
                      <w:r>
                        <w:rPr>
                          <w:rFonts w:ascii="Cambria" w:hAnsi="Cambria"/>
                          <w:color w:val="FFFFFF" w:themeColor="background1"/>
                          <w:sz w:val="25"/>
                          <w:szCs w:val="25"/>
                        </w:rPr>
                        <w:t>third</w:t>
                      </w:r>
                      <w:r w:rsidRPr="00EF2074">
                        <w:rPr>
                          <w:rFonts w:ascii="Cambria" w:hAnsi="Cambria"/>
                          <w:color w:val="FFFFFF" w:themeColor="background1"/>
                          <w:sz w:val="25"/>
                          <w:szCs w:val="25"/>
                        </w:rPr>
                        <w:t xml:space="preserve"> consecutive year PCLOB has received the prestigious CEAR award.</w:t>
                      </w:r>
                    </w:p>
                    <w:p w14:paraId="1A4E94EA" w14:textId="06F2FFB6" w:rsidR="00327989" w:rsidRPr="00EF2074" w:rsidRDefault="008803C1" w:rsidP="00551CC7">
                      <w:pPr>
                        <w:tabs>
                          <w:tab w:val="left" w:pos="4230"/>
                          <w:tab w:val="left" w:pos="8820"/>
                        </w:tabs>
                        <w:spacing w:before="360" w:line="276" w:lineRule="auto"/>
                        <w:ind w:left="270" w:right="270"/>
                        <w:jc w:val="both"/>
                        <w:rPr>
                          <w:rFonts w:ascii="Cambria" w:hAnsi="Cambria"/>
                          <w:color w:val="FFFFFF" w:themeColor="background1"/>
                          <w:sz w:val="25"/>
                          <w:szCs w:val="25"/>
                        </w:rPr>
                      </w:pPr>
                      <w:r>
                        <w:rPr>
                          <w:noProof/>
                        </w:rPr>
                        <w:drawing>
                          <wp:inline distT="0" distB="0" distL="0" distR="0" wp14:anchorId="2BCA64E7" wp14:editId="63F488B1">
                            <wp:extent cx="2800350" cy="3806825"/>
                            <wp:effectExtent l="57150" t="57150" r="95250" b="98425"/>
                            <wp:docPr id="1745457166" name="Picture 2" descr="Corinne Dougherty on LinkedIn: #kpmgfed #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inne Dougherty on LinkedIn: #kpmgfed #aga"/>
                                    <pic:cNvPicPr>
                                      <a:picLocks noChangeAspect="1" noChangeArrowheads="1"/>
                                    </pic:cNvPicPr>
                                  </pic:nvPicPr>
                                  <pic:blipFill rotWithShape="1">
                                    <a:blip r:embed="rId26">
                                      <a:extLst>
                                        <a:ext uri="{28A0092B-C50C-407E-A947-70E740481C1C}">
                                          <a14:useLocalDpi xmlns:a14="http://schemas.microsoft.com/office/drawing/2010/main" val="0"/>
                                        </a:ext>
                                      </a:extLst>
                                    </a:blip>
                                    <a:srcRect l="27197" r="31251"/>
                                    <a:stretch>
                                      <a:fillRect/>
                                    </a:stretch>
                                  </pic:blipFill>
                                  <pic:spPr bwMode="auto">
                                    <a:xfrm>
                                      <a:off x="0" y="0"/>
                                      <a:ext cx="2800350" cy="38068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C5E7F14" w14:textId="77777777" w:rsidR="00327989" w:rsidRDefault="00327989" w:rsidP="00327989">
                      <w:pPr>
                        <w:rPr>
                          <w:rFonts w:ascii="Cambria" w:eastAsia="Times New Roman" w:hAnsi="Cambria" w:cs="Times New Roman"/>
                          <w:b/>
                          <w:bCs/>
                          <w:sz w:val="28"/>
                          <w:szCs w:val="28"/>
                        </w:rPr>
                      </w:pPr>
                      <w:r>
                        <w:rPr>
                          <w:rFonts w:ascii="Cambria" w:eastAsia="Times New Roman" w:hAnsi="Cambria" w:cs="Times New Roman"/>
                          <w:b/>
                          <w:bCs/>
                          <w:sz w:val="28"/>
                          <w:szCs w:val="28"/>
                        </w:rPr>
                        <w:br w:type="page"/>
                      </w:r>
                    </w:p>
                    <w:p w14:paraId="488E807C" w14:textId="77777777" w:rsidR="00327989" w:rsidRDefault="00327989" w:rsidP="00327989">
                      <w:pPr>
                        <w:jc w:val="center"/>
                      </w:pPr>
                    </w:p>
                  </w:txbxContent>
                </v:textbox>
                <w10:wrap anchorx="page"/>
              </v:rect>
            </w:pict>
          </mc:Fallback>
        </mc:AlternateContent>
      </w:r>
      <w:r w:rsidR="00556656">
        <w:rPr>
          <w:rFonts w:ascii="Cambria" w:eastAsia="Times New Roman" w:hAnsi="Cambria"/>
          <w:color w:val="000000"/>
          <w:sz w:val="24"/>
          <w:szCs w:val="24"/>
        </w:rPr>
        <w:br w:type="page"/>
      </w:r>
    </w:p>
    <w:p w14:paraId="5ADE966F" w14:textId="0CC580C3" w:rsidR="005F6A50" w:rsidRPr="005F6A50" w:rsidRDefault="005F6A50" w:rsidP="001067A6">
      <w:pPr>
        <w:pStyle w:val="Heading2"/>
        <w:spacing w:before="0"/>
      </w:pPr>
      <w:bookmarkStart w:id="21" w:name="_Toc85212073"/>
      <w:bookmarkStart w:id="22" w:name="_Toc86327246"/>
      <w:bookmarkStart w:id="23" w:name="_Toc179295649"/>
      <w:bookmarkStart w:id="24" w:name="_Toc212119649"/>
      <w:bookmarkStart w:id="25" w:name="_Toc213421223"/>
      <w:r w:rsidRPr="005F6A50">
        <w:lastRenderedPageBreak/>
        <w:t>How This Report Is Organized</w:t>
      </w:r>
      <w:bookmarkEnd w:id="21"/>
      <w:bookmarkEnd w:id="22"/>
      <w:bookmarkEnd w:id="23"/>
      <w:bookmarkEnd w:id="24"/>
      <w:bookmarkEnd w:id="25"/>
    </w:p>
    <w:p w14:paraId="283E070D" w14:textId="505D64D0" w:rsidR="005F6A50" w:rsidRPr="005F6A50" w:rsidRDefault="005F6A50" w:rsidP="001067A6">
      <w:pPr>
        <w:keepNext/>
        <w:keepLines/>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 xml:space="preserve">This AFR presents the agency’s performance highlights and accomplishments, fiscal accountability, operational achievements, and challenges for FY </w:t>
      </w:r>
      <w:r w:rsidR="0049075B">
        <w:rPr>
          <w:rFonts w:ascii="Cambria" w:eastAsia="Times New Roman" w:hAnsi="Cambria" w:cs="Times New Roman"/>
          <w:sz w:val="24"/>
          <w:szCs w:val="24"/>
          <w:lang w:eastAsia="x-none"/>
        </w:rPr>
        <w:t>2025</w:t>
      </w:r>
      <w:r w:rsidRPr="005F6A50">
        <w:rPr>
          <w:rFonts w:ascii="Cambria" w:eastAsia="Times New Roman" w:hAnsi="Cambria" w:cs="Times New Roman"/>
          <w:sz w:val="24"/>
          <w:szCs w:val="24"/>
          <w:lang w:eastAsia="x-none"/>
        </w:rPr>
        <w:t xml:space="preserve">. After the </w:t>
      </w:r>
      <w:hyperlink w:anchor="_Message_From_the" w:history="1">
        <w:r w:rsidR="00DD243C" w:rsidRPr="00B569A9">
          <w:rPr>
            <w:rStyle w:val="Hyperlink"/>
            <w:rFonts w:ascii="Cambria" w:eastAsia="Times New Roman" w:hAnsi="Cambria" w:cs="Times New Roman"/>
            <w:sz w:val="24"/>
            <w:szCs w:val="24"/>
            <w:lang w:eastAsia="x-none"/>
          </w:rPr>
          <w:t xml:space="preserve">Agency </w:t>
        </w:r>
        <w:r w:rsidR="00A84D23" w:rsidRPr="00B569A9">
          <w:rPr>
            <w:rStyle w:val="Hyperlink"/>
            <w:rFonts w:ascii="Cambria" w:eastAsia="Times New Roman" w:hAnsi="Cambria" w:cs="Times New Roman"/>
            <w:sz w:val="24"/>
            <w:szCs w:val="24"/>
            <w:lang w:eastAsia="x-none"/>
          </w:rPr>
          <w:t>Transmittal Letter</w:t>
        </w:r>
      </w:hyperlink>
      <w:r w:rsidR="00964B3E">
        <w:rPr>
          <w:rFonts w:ascii="Cambria" w:eastAsia="Times New Roman" w:hAnsi="Cambria" w:cs="Times New Roman"/>
          <w:sz w:val="24"/>
          <w:szCs w:val="24"/>
          <w:lang w:eastAsia="x-none"/>
        </w:rPr>
        <w:t xml:space="preserve"> and </w:t>
      </w:r>
      <w:hyperlink w:anchor="_Introduction" w:history="1">
        <w:r w:rsidR="00B569A9">
          <w:rPr>
            <w:rStyle w:val="Hyperlink"/>
            <w:rFonts w:ascii="Cambria" w:eastAsia="Times New Roman" w:hAnsi="Cambria" w:cs="Times New Roman"/>
            <w:sz w:val="24"/>
            <w:szCs w:val="24"/>
            <w:lang w:eastAsia="x-none"/>
          </w:rPr>
          <w:t>I</w:t>
        </w:r>
        <w:r w:rsidR="00964B3E" w:rsidRPr="00B569A9">
          <w:rPr>
            <w:rStyle w:val="Hyperlink"/>
            <w:rFonts w:ascii="Cambria" w:eastAsia="Times New Roman" w:hAnsi="Cambria" w:cs="Times New Roman"/>
            <w:sz w:val="24"/>
            <w:szCs w:val="24"/>
            <w:lang w:eastAsia="x-none"/>
          </w:rPr>
          <w:t>ntroduction</w:t>
        </w:r>
      </w:hyperlink>
      <w:r w:rsidRPr="005F6A50">
        <w:rPr>
          <w:rFonts w:ascii="Cambria" w:eastAsia="Times New Roman" w:hAnsi="Cambria" w:cs="Times New Roman"/>
          <w:sz w:val="24"/>
          <w:szCs w:val="24"/>
          <w:lang w:eastAsia="x-none"/>
        </w:rPr>
        <w:t xml:space="preserve">, the report features three sections and </w:t>
      </w:r>
      <w:r w:rsidR="00C41E31">
        <w:rPr>
          <w:rFonts w:ascii="Cambria" w:eastAsia="Times New Roman" w:hAnsi="Cambria" w:cs="Times New Roman"/>
          <w:sz w:val="24"/>
          <w:szCs w:val="24"/>
          <w:lang w:eastAsia="x-none"/>
        </w:rPr>
        <w:t>one</w:t>
      </w:r>
      <w:r w:rsidR="00C41E31" w:rsidRPr="005F6A50">
        <w:rPr>
          <w:rFonts w:ascii="Cambria" w:eastAsia="Times New Roman" w:hAnsi="Cambria" w:cs="Times New Roman"/>
          <w:sz w:val="24"/>
          <w:szCs w:val="24"/>
          <w:lang w:eastAsia="x-none"/>
        </w:rPr>
        <w:t xml:space="preserve"> </w:t>
      </w:r>
      <w:r w:rsidRPr="005F6A50">
        <w:rPr>
          <w:rFonts w:ascii="Cambria" w:eastAsia="Times New Roman" w:hAnsi="Cambria" w:cs="Times New Roman"/>
          <w:sz w:val="24"/>
          <w:szCs w:val="24"/>
          <w:lang w:eastAsia="x-none"/>
        </w:rPr>
        <w:t>appendix.</w:t>
      </w:r>
    </w:p>
    <w:p w14:paraId="6EA158AF" w14:textId="2F90B0E6" w:rsidR="005F6A50" w:rsidRPr="005F6A50" w:rsidRDefault="00B569A9" w:rsidP="001067A6">
      <w:pPr>
        <w:keepNext/>
        <w:keepLines/>
        <w:jc w:val="both"/>
        <w:rPr>
          <w:rFonts w:ascii="Cambria" w:eastAsia="Times New Roman" w:hAnsi="Cambria" w:cs="Times New Roman"/>
          <w:color w:val="2F5496"/>
          <w:sz w:val="28"/>
          <w:szCs w:val="28"/>
          <w:lang w:eastAsia="x-none"/>
        </w:rPr>
      </w:pPr>
      <w:hyperlink w:anchor="_Management’s_Discussion_and" w:history="1">
        <w:r w:rsidRPr="00B569A9">
          <w:rPr>
            <w:rStyle w:val="Hyperlink"/>
            <w:rFonts w:ascii="Cambria" w:eastAsia="Times New Roman" w:hAnsi="Cambria" w:cs="Times New Roman"/>
            <w:sz w:val="28"/>
            <w:szCs w:val="28"/>
            <w:lang w:eastAsia="x-none"/>
          </w:rPr>
          <w:t>Management’s Discussion and Analysis</w:t>
        </w:r>
      </w:hyperlink>
    </w:p>
    <w:p w14:paraId="3ED41F0B" w14:textId="4727FB6B" w:rsidR="005F6A50" w:rsidRPr="005F6A50" w:rsidRDefault="005F6A50" w:rsidP="001067A6">
      <w:pPr>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 xml:space="preserve">This section provides </w:t>
      </w:r>
      <w:proofErr w:type="gramStart"/>
      <w:r w:rsidRPr="005F6A50">
        <w:rPr>
          <w:rFonts w:ascii="Cambria" w:eastAsia="Times New Roman" w:hAnsi="Cambria" w:cs="Times New Roman"/>
          <w:sz w:val="24"/>
          <w:szCs w:val="24"/>
          <w:lang w:eastAsia="x-none"/>
        </w:rPr>
        <w:t>background</w:t>
      </w:r>
      <w:proofErr w:type="gramEnd"/>
      <w:r w:rsidRPr="005F6A50">
        <w:rPr>
          <w:rFonts w:ascii="Cambria" w:eastAsia="Times New Roman" w:hAnsi="Cambria" w:cs="Times New Roman"/>
          <w:sz w:val="24"/>
          <w:szCs w:val="24"/>
          <w:lang w:eastAsia="x-none"/>
        </w:rPr>
        <w:t xml:space="preserve"> about the agency, </w:t>
      </w:r>
      <w:r w:rsidR="00AF3DF4">
        <w:rPr>
          <w:rFonts w:ascii="Cambria" w:eastAsia="Times New Roman" w:hAnsi="Cambria" w:cs="Times New Roman"/>
          <w:sz w:val="24"/>
          <w:szCs w:val="24"/>
          <w:lang w:eastAsia="x-none"/>
        </w:rPr>
        <w:t>i</w:t>
      </w:r>
      <w:r w:rsidRPr="005F6A50">
        <w:rPr>
          <w:rFonts w:ascii="Cambria" w:eastAsia="Times New Roman" w:hAnsi="Cambria" w:cs="Times New Roman"/>
          <w:sz w:val="24"/>
          <w:szCs w:val="24"/>
          <w:lang w:eastAsia="x-none"/>
        </w:rPr>
        <w:t xml:space="preserve">ncluding PCLOB’s history, mission, organizational structure, and projects. It provides an overview of performance information, financial results, and management assurance regarding internal controls. This section is not audited by the independent auditor. </w:t>
      </w:r>
    </w:p>
    <w:p w14:paraId="6AB7D15E" w14:textId="0E6A280B" w:rsidR="005F6A50" w:rsidRPr="005F6A50" w:rsidRDefault="00B569A9" w:rsidP="001067A6">
      <w:pPr>
        <w:jc w:val="both"/>
        <w:rPr>
          <w:rFonts w:ascii="Cambria" w:eastAsia="Times New Roman" w:hAnsi="Cambria" w:cs="Times New Roman"/>
          <w:color w:val="2F5496"/>
          <w:sz w:val="28"/>
          <w:szCs w:val="28"/>
          <w:lang w:eastAsia="x-none"/>
        </w:rPr>
      </w:pPr>
      <w:hyperlink w:anchor="_Financial_Section" w:history="1">
        <w:r w:rsidRPr="00B569A9">
          <w:rPr>
            <w:rStyle w:val="Hyperlink"/>
            <w:rFonts w:ascii="Cambria" w:eastAsia="Times New Roman" w:hAnsi="Cambria" w:cs="Times New Roman"/>
            <w:sz w:val="28"/>
            <w:szCs w:val="28"/>
            <w:lang w:eastAsia="x-none"/>
          </w:rPr>
          <w:t>Financial Section</w:t>
        </w:r>
      </w:hyperlink>
      <w:r w:rsidR="005F6A50" w:rsidRPr="005F6A50">
        <w:rPr>
          <w:rFonts w:ascii="Cambria" w:eastAsia="Times New Roman" w:hAnsi="Cambria" w:cs="Times New Roman"/>
          <w:color w:val="2F5496"/>
          <w:sz w:val="28"/>
          <w:szCs w:val="28"/>
          <w:lang w:eastAsia="x-none"/>
        </w:rPr>
        <w:t xml:space="preserve"> </w:t>
      </w:r>
    </w:p>
    <w:p w14:paraId="28E80454" w14:textId="45019A94" w:rsidR="005F6A50" w:rsidRPr="005F6A50" w:rsidRDefault="005F6A50" w:rsidP="001067A6">
      <w:pPr>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 xml:space="preserve">This section details the agency’s financial position as of the fiscal year that ended September 30, </w:t>
      </w:r>
      <w:r w:rsidR="0049075B">
        <w:rPr>
          <w:rFonts w:ascii="Cambria" w:eastAsia="Times New Roman" w:hAnsi="Cambria" w:cs="Times New Roman"/>
          <w:sz w:val="24"/>
          <w:szCs w:val="24"/>
          <w:lang w:eastAsia="x-none"/>
        </w:rPr>
        <w:t>2025</w:t>
      </w:r>
      <w:r w:rsidRPr="005F6A50">
        <w:rPr>
          <w:rFonts w:ascii="Cambria" w:eastAsia="Times New Roman" w:hAnsi="Cambria" w:cs="Times New Roman"/>
          <w:sz w:val="24"/>
          <w:szCs w:val="24"/>
          <w:lang w:eastAsia="x-none"/>
        </w:rPr>
        <w:t xml:space="preserve">. The agency’s FY </w:t>
      </w:r>
      <w:r w:rsidR="0049075B">
        <w:rPr>
          <w:rFonts w:ascii="Cambria" w:eastAsia="Times New Roman" w:hAnsi="Cambria" w:cs="Times New Roman"/>
          <w:sz w:val="24"/>
          <w:szCs w:val="24"/>
          <w:lang w:eastAsia="x-none"/>
        </w:rPr>
        <w:t>2025</w:t>
      </w:r>
      <w:r w:rsidRPr="005F6A50">
        <w:rPr>
          <w:rFonts w:ascii="Cambria" w:eastAsia="Times New Roman" w:hAnsi="Cambria" w:cs="Times New Roman"/>
          <w:sz w:val="24"/>
          <w:szCs w:val="24"/>
          <w:lang w:eastAsia="x-none"/>
        </w:rPr>
        <w:t xml:space="preserve"> audited financial statements and footnote disclosures are presented in this section, along with the independent auditor’s report. </w:t>
      </w:r>
    </w:p>
    <w:p w14:paraId="67FAC3AF" w14:textId="7EC15B30" w:rsidR="005F6A50" w:rsidRPr="005F6A50" w:rsidRDefault="005F6A50" w:rsidP="001067A6">
      <w:pPr>
        <w:numPr>
          <w:ilvl w:val="0"/>
          <w:numId w:val="3"/>
        </w:numPr>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 xml:space="preserve">The </w:t>
      </w:r>
      <w:r w:rsidR="005131D9">
        <w:rPr>
          <w:rFonts w:ascii="Cambria" w:eastAsia="Times New Roman" w:hAnsi="Cambria" w:cs="Times New Roman"/>
          <w:sz w:val="24"/>
          <w:szCs w:val="24"/>
          <w:lang w:eastAsia="x-none"/>
        </w:rPr>
        <w:t xml:space="preserve">independent </w:t>
      </w:r>
      <w:hyperlink w:anchor="_Report_of_Independent" w:history="1">
        <w:r w:rsidRPr="001C42AD">
          <w:rPr>
            <w:rStyle w:val="Hyperlink"/>
            <w:rFonts w:ascii="Cambria" w:eastAsia="Times New Roman" w:hAnsi="Cambria" w:cs="Times New Roman"/>
            <w:sz w:val="24"/>
            <w:szCs w:val="24"/>
            <w:lang w:eastAsia="x-none"/>
          </w:rPr>
          <w:t>auditor’s report</w:t>
        </w:r>
      </w:hyperlink>
      <w:r w:rsidRPr="005F6A50">
        <w:rPr>
          <w:rFonts w:ascii="Cambria" w:eastAsia="Times New Roman" w:hAnsi="Cambria" w:cs="Times New Roman"/>
          <w:sz w:val="24"/>
          <w:szCs w:val="24"/>
          <w:lang w:eastAsia="x-none"/>
        </w:rPr>
        <w:t xml:space="preserve"> speaks to whether the financial statements are materially </w:t>
      </w:r>
      <w:r w:rsidR="001607CB">
        <w:rPr>
          <w:rFonts w:ascii="Cambria" w:eastAsia="Times New Roman" w:hAnsi="Cambria" w:cs="Times New Roman"/>
          <w:sz w:val="24"/>
          <w:szCs w:val="24"/>
          <w:lang w:eastAsia="x-none"/>
        </w:rPr>
        <w:t xml:space="preserve">stated </w:t>
      </w:r>
      <w:r w:rsidRPr="005F6A50">
        <w:rPr>
          <w:rFonts w:ascii="Cambria" w:eastAsia="Times New Roman" w:hAnsi="Cambria" w:cs="Times New Roman"/>
          <w:sz w:val="24"/>
          <w:szCs w:val="24"/>
          <w:lang w:eastAsia="x-none"/>
        </w:rPr>
        <w:t xml:space="preserve">in accordance with federal generally accepted accounting principles (GAAP). The auditor found PCLOB’s FY </w:t>
      </w:r>
      <w:r w:rsidR="0049075B">
        <w:rPr>
          <w:rFonts w:ascii="Cambria" w:eastAsia="Times New Roman" w:hAnsi="Cambria" w:cs="Times New Roman"/>
          <w:sz w:val="24"/>
          <w:szCs w:val="24"/>
          <w:lang w:eastAsia="x-none"/>
        </w:rPr>
        <w:t>2025</w:t>
      </w:r>
      <w:r w:rsidRPr="005F6A50">
        <w:rPr>
          <w:rFonts w:ascii="Cambria" w:eastAsia="Times New Roman" w:hAnsi="Cambria" w:cs="Times New Roman"/>
          <w:sz w:val="24"/>
          <w:szCs w:val="24"/>
          <w:lang w:eastAsia="x-none"/>
        </w:rPr>
        <w:t xml:space="preserve"> financial statements to be materially correct in accordance with </w:t>
      </w:r>
      <w:r w:rsidR="00FC3BE7">
        <w:rPr>
          <w:rFonts w:ascii="Cambria" w:eastAsia="Times New Roman" w:hAnsi="Cambria" w:cs="Times New Roman"/>
          <w:sz w:val="24"/>
          <w:szCs w:val="24"/>
          <w:lang w:eastAsia="x-none"/>
        </w:rPr>
        <w:t xml:space="preserve">U.S. </w:t>
      </w:r>
      <w:r w:rsidRPr="005F6A50">
        <w:rPr>
          <w:rFonts w:ascii="Cambria" w:eastAsia="Times New Roman" w:hAnsi="Cambria" w:cs="Times New Roman"/>
          <w:sz w:val="24"/>
          <w:szCs w:val="24"/>
          <w:lang w:eastAsia="x-none"/>
        </w:rPr>
        <w:t>GAAP.</w:t>
      </w:r>
    </w:p>
    <w:p w14:paraId="1A32011F" w14:textId="198B7297" w:rsidR="005F6A50" w:rsidRPr="005F6A50" w:rsidRDefault="005F6A50" w:rsidP="001067A6">
      <w:pPr>
        <w:numPr>
          <w:ilvl w:val="0"/>
          <w:numId w:val="3"/>
        </w:numPr>
        <w:jc w:val="both"/>
        <w:rPr>
          <w:rFonts w:ascii="Cambria" w:eastAsia="Times New Roman" w:hAnsi="Cambria" w:cs="Times New Roman"/>
          <w:sz w:val="24"/>
          <w:szCs w:val="24"/>
          <w:lang w:eastAsia="x-none"/>
        </w:rPr>
      </w:pPr>
      <w:hyperlink w:anchor="_Audited_Financial_Statements" w:history="1">
        <w:r w:rsidRPr="001C42AD">
          <w:rPr>
            <w:rStyle w:val="Hyperlink"/>
            <w:rFonts w:ascii="Cambria" w:eastAsia="Times New Roman" w:hAnsi="Cambria" w:cs="Times New Roman"/>
            <w:sz w:val="24"/>
            <w:szCs w:val="24"/>
            <w:lang w:eastAsia="x-none"/>
          </w:rPr>
          <w:t>Financial statements</w:t>
        </w:r>
      </w:hyperlink>
      <w:r w:rsidRPr="005F6A50">
        <w:rPr>
          <w:rFonts w:ascii="Cambria" w:eastAsia="Times New Roman" w:hAnsi="Cambria" w:cs="Times New Roman"/>
          <w:sz w:val="24"/>
          <w:szCs w:val="24"/>
          <w:lang w:eastAsia="x-none"/>
        </w:rPr>
        <w:t xml:space="preserve"> provide actual financial results for the year and include </w:t>
      </w:r>
      <w:r w:rsidR="00D724F8">
        <w:rPr>
          <w:rFonts w:ascii="Cambria" w:eastAsia="Times New Roman" w:hAnsi="Cambria" w:cs="Times New Roman"/>
          <w:sz w:val="24"/>
          <w:szCs w:val="24"/>
          <w:lang w:eastAsia="x-none"/>
        </w:rPr>
        <w:t xml:space="preserve">the </w:t>
      </w:r>
      <w:r w:rsidRPr="005F6A50">
        <w:rPr>
          <w:rFonts w:ascii="Cambria" w:eastAsia="Times New Roman" w:hAnsi="Cambria" w:cs="Times New Roman"/>
          <w:sz w:val="24"/>
          <w:szCs w:val="24"/>
          <w:lang w:eastAsia="x-none"/>
        </w:rPr>
        <w:t xml:space="preserve">Balance Sheet, the Statement of Net Cost, the Statement of Changes in Net Position, and the Statement of Budgetary Resources. </w:t>
      </w:r>
      <w:r w:rsidR="00C41E31">
        <w:rPr>
          <w:rFonts w:ascii="Cambria" w:eastAsia="Times New Roman" w:hAnsi="Cambria" w:cs="Times New Roman"/>
          <w:sz w:val="24"/>
          <w:szCs w:val="24"/>
          <w:lang w:eastAsia="x-none"/>
        </w:rPr>
        <w:t>T</w:t>
      </w:r>
      <w:r w:rsidRPr="005F6A50">
        <w:rPr>
          <w:rFonts w:ascii="Cambria" w:eastAsia="Times New Roman" w:hAnsi="Cambria" w:cs="Times New Roman"/>
          <w:sz w:val="24"/>
          <w:szCs w:val="24"/>
          <w:lang w:eastAsia="x-none"/>
        </w:rPr>
        <w:t xml:space="preserve">he </w:t>
      </w:r>
      <w:r w:rsidR="003524E7">
        <w:rPr>
          <w:rFonts w:ascii="Cambria" w:eastAsia="Times New Roman" w:hAnsi="Cambria" w:cs="Times New Roman"/>
          <w:sz w:val="24"/>
          <w:szCs w:val="24"/>
          <w:lang w:eastAsia="x-none"/>
        </w:rPr>
        <w:t xml:space="preserve">following </w:t>
      </w:r>
      <w:r w:rsidRPr="005F6A50">
        <w:rPr>
          <w:rFonts w:ascii="Cambria" w:eastAsia="Times New Roman" w:hAnsi="Cambria" w:cs="Times New Roman"/>
          <w:sz w:val="24"/>
          <w:szCs w:val="24"/>
          <w:lang w:eastAsia="x-none"/>
        </w:rPr>
        <w:t>section</w:t>
      </w:r>
      <w:r w:rsidR="00C41E31">
        <w:rPr>
          <w:rFonts w:ascii="Cambria" w:eastAsia="Times New Roman" w:hAnsi="Cambria" w:cs="Times New Roman"/>
          <w:sz w:val="24"/>
          <w:szCs w:val="24"/>
          <w:lang w:eastAsia="x-none"/>
        </w:rPr>
        <w:t>,</w:t>
      </w:r>
      <w:r w:rsidRPr="005F6A50">
        <w:rPr>
          <w:rFonts w:ascii="Cambria" w:eastAsia="Times New Roman" w:hAnsi="Cambria" w:cs="Times New Roman"/>
          <w:sz w:val="24"/>
          <w:szCs w:val="24"/>
          <w:lang w:eastAsia="x-none"/>
        </w:rPr>
        <w:t xml:space="preserve"> “Key Terms Used in This Report</w:t>
      </w:r>
      <w:r w:rsidR="00C41E31">
        <w:rPr>
          <w:rFonts w:ascii="Cambria" w:eastAsia="Times New Roman" w:hAnsi="Cambria" w:cs="Times New Roman"/>
          <w:sz w:val="24"/>
          <w:szCs w:val="24"/>
          <w:lang w:eastAsia="x-none"/>
        </w:rPr>
        <w:t>,</w:t>
      </w:r>
      <w:r w:rsidRPr="005F6A50">
        <w:rPr>
          <w:rFonts w:ascii="Cambria" w:eastAsia="Times New Roman" w:hAnsi="Cambria" w:cs="Times New Roman"/>
          <w:sz w:val="24"/>
          <w:szCs w:val="24"/>
          <w:lang w:eastAsia="x-none"/>
        </w:rPr>
        <w:t xml:space="preserve">” </w:t>
      </w:r>
      <w:r w:rsidR="00C41E31">
        <w:rPr>
          <w:rFonts w:ascii="Cambria" w:eastAsia="Times New Roman" w:hAnsi="Cambria" w:cs="Times New Roman"/>
          <w:sz w:val="24"/>
          <w:szCs w:val="24"/>
          <w:lang w:eastAsia="x-none"/>
        </w:rPr>
        <w:t>describes</w:t>
      </w:r>
      <w:r w:rsidRPr="005F6A50">
        <w:rPr>
          <w:rFonts w:ascii="Cambria" w:eastAsia="Times New Roman" w:hAnsi="Cambria" w:cs="Times New Roman"/>
          <w:sz w:val="24"/>
          <w:szCs w:val="24"/>
          <w:lang w:eastAsia="x-none"/>
        </w:rPr>
        <w:t xml:space="preserve"> </w:t>
      </w:r>
      <w:r w:rsidR="00FD420C">
        <w:rPr>
          <w:rFonts w:ascii="Cambria" w:eastAsia="Times New Roman" w:hAnsi="Cambria" w:cs="Times New Roman"/>
          <w:sz w:val="24"/>
          <w:szCs w:val="24"/>
          <w:lang w:eastAsia="x-none"/>
        </w:rPr>
        <w:t>these</w:t>
      </w:r>
      <w:r w:rsidR="00FD420C" w:rsidRPr="005F6A50">
        <w:rPr>
          <w:rFonts w:ascii="Cambria" w:eastAsia="Times New Roman" w:hAnsi="Cambria" w:cs="Times New Roman"/>
          <w:sz w:val="24"/>
          <w:szCs w:val="24"/>
          <w:lang w:eastAsia="x-none"/>
        </w:rPr>
        <w:t xml:space="preserve"> </w:t>
      </w:r>
      <w:r w:rsidRPr="005F6A50">
        <w:rPr>
          <w:rFonts w:ascii="Cambria" w:eastAsia="Times New Roman" w:hAnsi="Cambria" w:cs="Times New Roman"/>
          <w:sz w:val="24"/>
          <w:szCs w:val="24"/>
          <w:lang w:eastAsia="x-none"/>
        </w:rPr>
        <w:t>statement</w:t>
      </w:r>
      <w:r w:rsidR="00FD420C">
        <w:rPr>
          <w:rFonts w:ascii="Cambria" w:eastAsia="Times New Roman" w:hAnsi="Cambria" w:cs="Times New Roman"/>
          <w:sz w:val="24"/>
          <w:szCs w:val="24"/>
          <w:lang w:eastAsia="x-none"/>
        </w:rPr>
        <w:t>s and other financial terms.</w:t>
      </w:r>
    </w:p>
    <w:p w14:paraId="0B61AEFF" w14:textId="288964F4" w:rsidR="005F6A50" w:rsidRPr="005F6A50" w:rsidRDefault="001C42AD" w:rsidP="001067A6">
      <w:pPr>
        <w:numPr>
          <w:ilvl w:val="0"/>
          <w:numId w:val="3"/>
        </w:numPr>
        <w:jc w:val="both"/>
        <w:rPr>
          <w:rFonts w:ascii="Cambria" w:eastAsia="Times New Roman" w:hAnsi="Cambria" w:cs="Times New Roman"/>
          <w:sz w:val="24"/>
          <w:szCs w:val="24"/>
          <w:lang w:eastAsia="x-none"/>
        </w:rPr>
      </w:pPr>
      <w:hyperlink w:anchor="_Notes_to_the" w:history="1">
        <w:r w:rsidRPr="001C42AD">
          <w:rPr>
            <w:rStyle w:val="Hyperlink"/>
            <w:rFonts w:ascii="Cambria" w:eastAsia="Times New Roman" w:hAnsi="Cambria" w:cs="Times New Roman"/>
            <w:sz w:val="24"/>
            <w:szCs w:val="24"/>
            <w:lang w:eastAsia="x-none"/>
          </w:rPr>
          <w:t>Notes to the financial statements</w:t>
        </w:r>
      </w:hyperlink>
      <w:r w:rsidRPr="001C42AD">
        <w:rPr>
          <w:rFonts w:ascii="Cambria" w:eastAsia="Times New Roman" w:hAnsi="Cambria" w:cs="Times New Roman"/>
          <w:sz w:val="24"/>
          <w:szCs w:val="24"/>
          <w:lang w:eastAsia="x-none"/>
        </w:rPr>
        <w:t xml:space="preserve"> provide</w:t>
      </w:r>
      <w:r w:rsidR="005F6A50" w:rsidRPr="005F6A50">
        <w:rPr>
          <w:rFonts w:ascii="Cambria" w:eastAsia="Times New Roman" w:hAnsi="Cambria" w:cs="Times New Roman"/>
          <w:sz w:val="24"/>
          <w:szCs w:val="24"/>
          <w:lang w:eastAsia="x-none"/>
        </w:rPr>
        <w:t xml:space="preserve"> additional details and context concerning the </w:t>
      </w:r>
      <w:r w:rsidR="00964B3E">
        <w:rPr>
          <w:rFonts w:ascii="Cambria" w:eastAsia="Times New Roman" w:hAnsi="Cambria" w:cs="Times New Roman"/>
          <w:sz w:val="24"/>
          <w:szCs w:val="24"/>
          <w:lang w:eastAsia="x-none"/>
        </w:rPr>
        <w:t>amounts</w:t>
      </w:r>
      <w:r w:rsidR="00964B3E" w:rsidRPr="005F6A50">
        <w:rPr>
          <w:rFonts w:ascii="Cambria" w:eastAsia="Times New Roman" w:hAnsi="Cambria" w:cs="Times New Roman"/>
          <w:sz w:val="24"/>
          <w:szCs w:val="24"/>
          <w:lang w:eastAsia="x-none"/>
        </w:rPr>
        <w:t xml:space="preserve"> </w:t>
      </w:r>
      <w:r w:rsidR="005F6A50" w:rsidRPr="005F6A50">
        <w:rPr>
          <w:rFonts w:ascii="Cambria" w:eastAsia="Times New Roman" w:hAnsi="Cambria" w:cs="Times New Roman"/>
          <w:sz w:val="24"/>
          <w:szCs w:val="24"/>
          <w:lang w:eastAsia="x-none"/>
        </w:rPr>
        <w:t xml:space="preserve">reported. </w:t>
      </w:r>
    </w:p>
    <w:p w14:paraId="3D8330F9" w14:textId="1D219E1B" w:rsidR="005F6A50" w:rsidRPr="005F6A50" w:rsidRDefault="00B569A9" w:rsidP="001067A6">
      <w:pPr>
        <w:jc w:val="both"/>
        <w:rPr>
          <w:rFonts w:ascii="Cambria" w:eastAsia="Times New Roman" w:hAnsi="Cambria" w:cs="Times New Roman"/>
          <w:color w:val="2F5496"/>
          <w:sz w:val="28"/>
          <w:szCs w:val="28"/>
          <w:lang w:eastAsia="x-none"/>
        </w:rPr>
      </w:pPr>
      <w:hyperlink w:anchor="_Other_Information" w:history="1">
        <w:r w:rsidRPr="00B569A9">
          <w:rPr>
            <w:rStyle w:val="Hyperlink"/>
            <w:rFonts w:ascii="Cambria" w:eastAsia="Times New Roman" w:hAnsi="Cambria" w:cs="Times New Roman"/>
            <w:sz w:val="28"/>
            <w:szCs w:val="28"/>
            <w:lang w:eastAsia="x-none"/>
          </w:rPr>
          <w:t>Other Information</w:t>
        </w:r>
      </w:hyperlink>
    </w:p>
    <w:p w14:paraId="6CFA8D1B" w14:textId="15B7D962" w:rsidR="005F6A50" w:rsidRPr="005F6A50" w:rsidRDefault="005F6A50" w:rsidP="001067A6">
      <w:pPr>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 xml:space="preserve">This section contains a summary of the financial statement audit, management assurances, and required reporting related to PCLOB’s compliance with the Payment Integrity Information Act, including the agency’s fraud reduction measures. This section is not audited. </w:t>
      </w:r>
    </w:p>
    <w:p w14:paraId="63043E0A" w14:textId="3425BCC0" w:rsidR="005F6A50" w:rsidRPr="005F6A50" w:rsidRDefault="00B569A9" w:rsidP="001067A6">
      <w:pPr>
        <w:jc w:val="both"/>
        <w:rPr>
          <w:rFonts w:ascii="Cambria" w:eastAsia="Times New Roman" w:hAnsi="Cambria" w:cs="Times New Roman"/>
          <w:color w:val="2F5496"/>
          <w:sz w:val="28"/>
          <w:szCs w:val="28"/>
          <w:lang w:eastAsia="x-none"/>
        </w:rPr>
      </w:pPr>
      <w:hyperlink w:anchor="_Appendix:_Glossary_of_1" w:history="1">
        <w:r w:rsidRPr="00B569A9">
          <w:rPr>
            <w:rStyle w:val="Hyperlink"/>
            <w:rFonts w:ascii="Cambria" w:eastAsia="Times New Roman" w:hAnsi="Cambria" w:cs="Times New Roman"/>
            <w:sz w:val="28"/>
            <w:szCs w:val="28"/>
            <w:lang w:eastAsia="x-none"/>
          </w:rPr>
          <w:t>Appendix</w:t>
        </w:r>
      </w:hyperlink>
    </w:p>
    <w:p w14:paraId="34CD01F1" w14:textId="2F4D63D2" w:rsidR="005F6A50" w:rsidRPr="005F6A50" w:rsidRDefault="005F6A50" w:rsidP="001067A6">
      <w:pPr>
        <w:jc w:val="both"/>
        <w:rPr>
          <w:rFonts w:ascii="Cambria" w:eastAsia="Times New Roman" w:hAnsi="Cambria" w:cs="Times New Roman"/>
          <w:sz w:val="24"/>
          <w:szCs w:val="24"/>
          <w:lang w:eastAsia="x-none"/>
        </w:rPr>
      </w:pPr>
      <w:r w:rsidRPr="005F6A50">
        <w:rPr>
          <w:rFonts w:ascii="Cambria" w:eastAsia="Times New Roman" w:hAnsi="Cambria" w:cs="Times New Roman"/>
          <w:sz w:val="24"/>
          <w:szCs w:val="24"/>
          <w:lang w:eastAsia="x-none"/>
        </w:rPr>
        <w:t>T</w:t>
      </w:r>
      <w:r w:rsidR="00C41E31">
        <w:rPr>
          <w:rFonts w:ascii="Cambria" w:eastAsia="Times New Roman" w:hAnsi="Cambria" w:cs="Times New Roman"/>
          <w:sz w:val="24"/>
          <w:szCs w:val="24"/>
          <w:lang w:eastAsia="x-none"/>
        </w:rPr>
        <w:t>he appendix</w:t>
      </w:r>
      <w:r w:rsidRPr="005F6A50">
        <w:rPr>
          <w:rFonts w:ascii="Cambria" w:eastAsia="Times New Roman" w:hAnsi="Cambria" w:cs="Times New Roman"/>
          <w:sz w:val="24"/>
          <w:szCs w:val="24"/>
          <w:lang w:eastAsia="x-none"/>
        </w:rPr>
        <w:t xml:space="preserve"> provides a </w:t>
      </w:r>
      <w:r w:rsidR="004E3E3A">
        <w:rPr>
          <w:rFonts w:ascii="Cambria" w:eastAsia="Times New Roman" w:hAnsi="Cambria" w:cs="Times New Roman"/>
          <w:sz w:val="24"/>
          <w:szCs w:val="24"/>
          <w:lang w:eastAsia="x-none"/>
        </w:rPr>
        <w:t>list</w:t>
      </w:r>
      <w:r w:rsidRPr="005F6A50">
        <w:rPr>
          <w:rFonts w:ascii="Cambria" w:eastAsia="Times New Roman" w:hAnsi="Cambria" w:cs="Times New Roman"/>
          <w:sz w:val="24"/>
          <w:szCs w:val="24"/>
          <w:lang w:eastAsia="x-none"/>
        </w:rPr>
        <w:t xml:space="preserve"> of abbreviations used throughout this report.</w:t>
      </w:r>
    </w:p>
    <w:p w14:paraId="37D03B24" w14:textId="77777777" w:rsidR="005F6A50" w:rsidRPr="005F6A50" w:rsidRDefault="005F6A50" w:rsidP="00BC03F5">
      <w:pPr>
        <w:keepNext/>
        <w:spacing w:after="60"/>
        <w:outlineLvl w:val="1"/>
        <w:rPr>
          <w:rFonts w:ascii="Cambria" w:eastAsia="Times New Roman" w:hAnsi="Cambria" w:cs="Times New Roman"/>
          <w:b/>
          <w:bCs/>
          <w:sz w:val="28"/>
          <w:szCs w:val="28"/>
        </w:rPr>
      </w:pPr>
      <w:bookmarkStart w:id="26" w:name="_Toc85212074"/>
      <w:bookmarkStart w:id="27" w:name="_Toc86327247"/>
      <w:r w:rsidRPr="005F6A50">
        <w:rPr>
          <w:rFonts w:ascii="Cambria" w:eastAsia="Times New Roman" w:hAnsi="Cambria" w:cs="Times New Roman"/>
          <w:b/>
          <w:bCs/>
          <w:sz w:val="28"/>
          <w:szCs w:val="28"/>
        </w:rPr>
        <w:br w:type="page"/>
      </w:r>
      <w:bookmarkStart w:id="28" w:name="_Toc179295650"/>
      <w:bookmarkStart w:id="29" w:name="_Toc212119650"/>
      <w:bookmarkStart w:id="30" w:name="_Toc213421224"/>
      <w:r w:rsidRPr="005F6A50">
        <w:rPr>
          <w:rFonts w:ascii="Cambria" w:eastAsia="Times New Roman" w:hAnsi="Cambria" w:cs="Times New Roman"/>
          <w:b/>
          <w:bCs/>
          <w:sz w:val="28"/>
          <w:szCs w:val="28"/>
        </w:rPr>
        <w:lastRenderedPageBreak/>
        <w:t>Key Terms Used in This Report</w:t>
      </w:r>
      <w:bookmarkEnd w:id="26"/>
      <w:bookmarkEnd w:id="27"/>
      <w:bookmarkEnd w:id="28"/>
      <w:bookmarkEnd w:id="29"/>
      <w:bookmarkEnd w:id="30"/>
    </w:p>
    <w:p w14:paraId="4A799D95" w14:textId="0F88DDAB" w:rsidR="005F6A50" w:rsidRPr="004F08BD" w:rsidRDefault="005F6A50" w:rsidP="005F6A50">
      <w:pPr>
        <w:spacing w:line="276" w:lineRule="auto"/>
        <w:jc w:val="both"/>
        <w:rPr>
          <w:rFonts w:ascii="Cambria" w:eastAsia="Calibri" w:hAnsi="Cambria" w:cs="Times New Roman"/>
        </w:rPr>
      </w:pPr>
      <w:r w:rsidRPr="00BC03F5">
        <w:rPr>
          <w:rFonts w:ascii="Cambria" w:eastAsia="Calibri" w:hAnsi="Cambria" w:cs="Times New Roman"/>
          <w:b/>
          <w:bCs/>
        </w:rPr>
        <w:t xml:space="preserve">Generally Accepted Accounting Principles </w:t>
      </w:r>
      <w:r w:rsidR="00C41E31">
        <w:rPr>
          <w:rFonts w:ascii="Cambria" w:eastAsia="Calibri" w:hAnsi="Cambria" w:cs="Times New Roman"/>
          <w:b/>
          <w:bCs/>
        </w:rPr>
        <w:t>(GAAP)</w:t>
      </w:r>
      <w:r w:rsidRPr="00BC03F5">
        <w:rPr>
          <w:rFonts w:ascii="Cambria" w:eastAsia="Calibri" w:hAnsi="Cambria" w:cs="Times New Roman"/>
          <w:b/>
          <w:bCs/>
        </w:rPr>
        <w:t xml:space="preserve"> </w:t>
      </w:r>
      <w:r w:rsidR="0071704F" w:rsidRPr="00BB4D65">
        <w:rPr>
          <w:rFonts w:ascii="Cambria" w:eastAsia="Calibri" w:hAnsi="Cambria" w:cs="Times New Roman"/>
        </w:rPr>
        <w:t>—</w:t>
      </w:r>
      <w:r w:rsidRPr="00BC03F5">
        <w:rPr>
          <w:rFonts w:ascii="Cambria" w:eastAsia="Calibri" w:hAnsi="Cambria" w:cs="Times New Roman"/>
          <w:b/>
          <w:bCs/>
        </w:rPr>
        <w:t xml:space="preserve"> </w:t>
      </w:r>
      <w:r w:rsidRPr="00BC03F5">
        <w:rPr>
          <w:rFonts w:ascii="Cambria" w:eastAsia="Calibri" w:hAnsi="Cambria" w:cs="Times New Roman"/>
        </w:rPr>
        <w:t xml:space="preserve">GAAP refers to a common set of accounting </w:t>
      </w:r>
      <w:r w:rsidRPr="004F08BD">
        <w:rPr>
          <w:rFonts w:ascii="Cambria" w:eastAsia="Calibri" w:hAnsi="Cambria" w:cs="Times New Roman"/>
        </w:rPr>
        <w:t xml:space="preserve">principles, standards, and procedures used in the United States, as designated by the American Institute of Certified Public Accountants (AICPA). PCLOB follows the GAAP </w:t>
      </w:r>
      <w:r w:rsidR="00C41E31" w:rsidRPr="004F08BD">
        <w:rPr>
          <w:rFonts w:ascii="Cambria" w:eastAsia="Calibri" w:hAnsi="Cambria" w:cs="Times New Roman"/>
        </w:rPr>
        <w:t xml:space="preserve">requirements </w:t>
      </w:r>
      <w:r w:rsidRPr="004F08BD">
        <w:rPr>
          <w:rFonts w:ascii="Cambria" w:eastAsia="Calibri" w:hAnsi="Cambria" w:cs="Times New Roman"/>
        </w:rPr>
        <w:t>for federal financial reporting</w:t>
      </w:r>
      <w:r w:rsidR="00C41E31">
        <w:rPr>
          <w:rFonts w:ascii="Cambria" w:eastAsia="Calibri" w:hAnsi="Cambria" w:cs="Times New Roman"/>
        </w:rPr>
        <w:t xml:space="preserve"> </w:t>
      </w:r>
      <w:r w:rsidRPr="004F08BD">
        <w:rPr>
          <w:rFonts w:ascii="Cambria" w:eastAsia="Calibri" w:hAnsi="Cambria" w:cs="Times New Roman"/>
        </w:rPr>
        <w:t xml:space="preserve">issued for </w:t>
      </w:r>
      <w:r w:rsidR="00C41E31">
        <w:rPr>
          <w:rFonts w:ascii="Cambria" w:eastAsia="Calibri" w:hAnsi="Cambria" w:cs="Times New Roman"/>
        </w:rPr>
        <w:t xml:space="preserve">federal entities </w:t>
      </w:r>
      <w:r w:rsidRPr="004F08BD">
        <w:rPr>
          <w:rFonts w:ascii="Cambria" w:eastAsia="Calibri" w:hAnsi="Cambria" w:cs="Times New Roman"/>
        </w:rPr>
        <w:t>by the Federal Accounting Standards Advisory Board (FASAB).</w:t>
      </w:r>
    </w:p>
    <w:p w14:paraId="369F3E3D" w14:textId="491B45DD" w:rsidR="005F6A50" w:rsidRPr="004F08BD" w:rsidRDefault="005F6A50" w:rsidP="005F6A50">
      <w:pPr>
        <w:spacing w:line="276" w:lineRule="auto"/>
        <w:jc w:val="both"/>
        <w:rPr>
          <w:rFonts w:ascii="Cambria" w:eastAsia="Calibri" w:hAnsi="Cambria" w:cs="Times New Roman"/>
        </w:rPr>
      </w:pPr>
      <w:r w:rsidRPr="004F08BD">
        <w:rPr>
          <w:rFonts w:ascii="Cambria" w:eastAsia="Calibri" w:hAnsi="Cambria" w:cs="Times New Roman"/>
          <w:b/>
          <w:bCs/>
        </w:rPr>
        <w:t xml:space="preserve">Government Financial Statements </w:t>
      </w:r>
      <w:r w:rsidR="0071704F" w:rsidRPr="00BB4D65">
        <w:rPr>
          <w:rFonts w:ascii="Cambria" w:eastAsia="Calibri" w:hAnsi="Cambria" w:cs="Times New Roman"/>
        </w:rPr>
        <w:t>—</w:t>
      </w:r>
      <w:r w:rsidRPr="004F08BD">
        <w:rPr>
          <w:rFonts w:ascii="Cambria" w:eastAsia="Calibri" w:hAnsi="Cambria" w:cs="Times New Roman"/>
          <w:b/>
          <w:bCs/>
        </w:rPr>
        <w:t xml:space="preserve"> </w:t>
      </w:r>
      <w:r w:rsidRPr="004F08BD">
        <w:rPr>
          <w:rFonts w:ascii="Cambria" w:eastAsia="Calibri" w:hAnsi="Cambria" w:cs="Times New Roman"/>
        </w:rPr>
        <w:t>According to the U.S. Government Accountability Office (GAO), the objectives of federal financial reports are for agencies to demonstrate their accountability, provide useful information, and help internal users of financial information to improve the government</w:t>
      </w:r>
      <w:r w:rsidR="00335ADA">
        <w:rPr>
          <w:rFonts w:ascii="Cambria" w:eastAsia="Calibri" w:hAnsi="Cambria" w:cs="Times New Roman"/>
        </w:rPr>
        <w:t>’</w:t>
      </w:r>
      <w:r w:rsidRPr="004F08BD">
        <w:rPr>
          <w:rFonts w:ascii="Cambria" w:eastAsia="Calibri" w:hAnsi="Cambria" w:cs="Times New Roman"/>
        </w:rPr>
        <w:t xml:space="preserve">s management. </w:t>
      </w:r>
    </w:p>
    <w:p w14:paraId="16236D39" w14:textId="2C7109B0" w:rsidR="005F6A50" w:rsidRPr="004F08BD" w:rsidRDefault="005F6A50" w:rsidP="005F6A50">
      <w:pPr>
        <w:spacing w:line="276" w:lineRule="auto"/>
        <w:jc w:val="both"/>
        <w:rPr>
          <w:rFonts w:ascii="Cambria" w:eastAsia="Calibri" w:hAnsi="Cambria" w:cs="Times New Roman"/>
        </w:rPr>
      </w:pPr>
      <w:r w:rsidRPr="004F08BD">
        <w:rPr>
          <w:rFonts w:ascii="Cambria" w:eastAsia="Calibri" w:hAnsi="Cambria" w:cs="Times New Roman"/>
          <w:b/>
          <w:bCs/>
        </w:rPr>
        <w:t xml:space="preserve">Balance Sheet </w:t>
      </w:r>
      <w:r w:rsidR="0071704F" w:rsidRPr="00BB4D65">
        <w:rPr>
          <w:rFonts w:ascii="Cambria" w:eastAsia="Calibri" w:hAnsi="Cambria" w:cs="Times New Roman"/>
        </w:rPr>
        <w:t>—</w:t>
      </w:r>
      <w:r w:rsidRPr="004F08BD">
        <w:rPr>
          <w:rFonts w:ascii="Cambria" w:eastAsia="Calibri" w:hAnsi="Cambria" w:cs="Times New Roman"/>
          <w:b/>
          <w:bCs/>
        </w:rPr>
        <w:t xml:space="preserve"> </w:t>
      </w:r>
      <w:r w:rsidRPr="004F08BD">
        <w:rPr>
          <w:rFonts w:ascii="Cambria" w:eastAsia="Calibri" w:hAnsi="Cambria" w:cs="Times New Roman"/>
        </w:rPr>
        <w:t>The Balance Sheet reports the agency</w:t>
      </w:r>
      <w:r w:rsidR="00335ADA">
        <w:rPr>
          <w:rFonts w:ascii="Cambria" w:eastAsia="Calibri" w:hAnsi="Cambria" w:cs="Times New Roman"/>
        </w:rPr>
        <w:t>’</w:t>
      </w:r>
      <w:r w:rsidRPr="004F08BD">
        <w:rPr>
          <w:rFonts w:ascii="Cambria" w:eastAsia="Calibri" w:hAnsi="Cambria" w:cs="Times New Roman"/>
        </w:rPr>
        <w:t>s assets and liabilities at a fixed point in time</w:t>
      </w:r>
      <w:r w:rsidR="002C3272">
        <w:rPr>
          <w:rFonts w:ascii="Cambria" w:eastAsia="Calibri" w:hAnsi="Cambria" w:cs="Times New Roman"/>
        </w:rPr>
        <w:t>—</w:t>
      </w:r>
      <w:r w:rsidRPr="004F08BD">
        <w:rPr>
          <w:rFonts w:ascii="Cambria" w:eastAsia="Calibri" w:hAnsi="Cambria" w:cs="Times New Roman"/>
        </w:rPr>
        <w:t xml:space="preserve">September 30, </w:t>
      </w:r>
      <w:r w:rsidR="0049075B" w:rsidRPr="004F08BD">
        <w:rPr>
          <w:rFonts w:ascii="Cambria" w:eastAsia="Calibri" w:hAnsi="Cambria" w:cs="Times New Roman"/>
        </w:rPr>
        <w:t>2025</w:t>
      </w:r>
      <w:r w:rsidRPr="004F08BD">
        <w:rPr>
          <w:rFonts w:ascii="Cambria" w:eastAsia="Calibri" w:hAnsi="Cambria" w:cs="Times New Roman"/>
        </w:rPr>
        <w:t>. Most of the terms on the Balance Sheet</w:t>
      </w:r>
      <w:r w:rsidRPr="004F08BD" w:rsidDel="00964E02">
        <w:rPr>
          <w:rFonts w:ascii="Cambria" w:eastAsia="Calibri" w:hAnsi="Cambria" w:cs="Times New Roman"/>
        </w:rPr>
        <w:t xml:space="preserve"> </w:t>
      </w:r>
      <w:r w:rsidRPr="004F08BD">
        <w:rPr>
          <w:rFonts w:ascii="Cambria" w:eastAsia="Calibri" w:hAnsi="Cambria" w:cs="Times New Roman"/>
        </w:rPr>
        <w:t>are familiar to users of financial statements</w:t>
      </w:r>
      <w:r w:rsidR="00C41E31">
        <w:rPr>
          <w:rFonts w:ascii="Cambria" w:eastAsia="Calibri" w:hAnsi="Cambria" w:cs="Times New Roman"/>
        </w:rPr>
        <w:t>.</w:t>
      </w:r>
      <w:r w:rsidRPr="004F08BD">
        <w:rPr>
          <w:rFonts w:ascii="Cambria" w:eastAsia="Calibri" w:hAnsi="Cambria" w:cs="Times New Roman"/>
        </w:rPr>
        <w:t xml:space="preserve"> </w:t>
      </w:r>
      <w:r w:rsidR="00C41E31">
        <w:rPr>
          <w:rFonts w:ascii="Cambria" w:eastAsia="Calibri" w:hAnsi="Cambria" w:cs="Times New Roman"/>
        </w:rPr>
        <w:t>There is one unique term</w:t>
      </w:r>
      <w:r w:rsidRPr="004F08BD">
        <w:rPr>
          <w:rFonts w:ascii="Cambria" w:eastAsia="Calibri" w:hAnsi="Cambria" w:cs="Times New Roman"/>
        </w:rPr>
        <w:t xml:space="preserve"> on a federal balance sheet</w:t>
      </w:r>
      <w:r w:rsidR="00C41E31">
        <w:rPr>
          <w:rFonts w:ascii="Cambria" w:eastAsia="Calibri" w:hAnsi="Cambria" w:cs="Times New Roman"/>
        </w:rPr>
        <w:t>:</w:t>
      </w:r>
      <w:r w:rsidRPr="004F08BD">
        <w:rPr>
          <w:rFonts w:ascii="Cambria" w:eastAsia="Calibri" w:hAnsi="Cambria" w:cs="Times New Roman"/>
        </w:rPr>
        <w:t xml:space="preserve"> “Fund Balance with Treasury.” Like bank accounts, the fund balance represent</w:t>
      </w:r>
      <w:r w:rsidR="00C41E31">
        <w:rPr>
          <w:rFonts w:ascii="Cambria" w:eastAsia="Calibri" w:hAnsi="Cambria" w:cs="Times New Roman"/>
        </w:rPr>
        <w:t>s</w:t>
      </w:r>
      <w:r w:rsidRPr="004F08BD">
        <w:rPr>
          <w:rFonts w:ascii="Cambria" w:eastAsia="Calibri" w:hAnsi="Cambria" w:cs="Times New Roman"/>
        </w:rPr>
        <w:t xml:space="preserve"> the amount of funding in the agency's accounts within the U.S. Department of </w:t>
      </w:r>
      <w:r w:rsidR="00B51430">
        <w:rPr>
          <w:rFonts w:ascii="Cambria" w:eastAsia="Calibri" w:hAnsi="Cambria" w:cs="Times New Roman"/>
        </w:rPr>
        <w:t xml:space="preserve">the </w:t>
      </w:r>
      <w:r w:rsidRPr="004F08BD">
        <w:rPr>
          <w:rFonts w:ascii="Cambria" w:eastAsia="Calibri" w:hAnsi="Cambria" w:cs="Times New Roman"/>
        </w:rPr>
        <w:t xml:space="preserve">Treasury </w:t>
      </w:r>
      <w:r w:rsidR="00595D79" w:rsidRPr="004F08BD">
        <w:rPr>
          <w:rFonts w:ascii="Cambria" w:eastAsia="Calibri" w:hAnsi="Cambria" w:cs="Times New Roman"/>
        </w:rPr>
        <w:t xml:space="preserve">(Treasury) </w:t>
      </w:r>
      <w:r w:rsidRPr="004F08BD">
        <w:rPr>
          <w:rFonts w:ascii="Cambria" w:eastAsia="Calibri" w:hAnsi="Cambria" w:cs="Times New Roman"/>
        </w:rPr>
        <w:t xml:space="preserve">that is available to spend for the purposes for which the funds were </w:t>
      </w:r>
      <w:r w:rsidR="00C41E31">
        <w:rPr>
          <w:rFonts w:ascii="Cambria" w:eastAsia="Calibri" w:hAnsi="Cambria" w:cs="Times New Roman"/>
        </w:rPr>
        <w:t>appropriated</w:t>
      </w:r>
      <w:r w:rsidR="00C41E31" w:rsidRPr="004F08BD">
        <w:rPr>
          <w:rFonts w:ascii="Cambria" w:eastAsia="Calibri" w:hAnsi="Cambria" w:cs="Times New Roman"/>
        </w:rPr>
        <w:t xml:space="preserve"> </w:t>
      </w:r>
      <w:r w:rsidRPr="004F08BD">
        <w:rPr>
          <w:rFonts w:ascii="Cambria" w:eastAsia="Calibri" w:hAnsi="Cambria" w:cs="Times New Roman"/>
        </w:rPr>
        <w:t>by Congress.</w:t>
      </w:r>
    </w:p>
    <w:p w14:paraId="6821ECFC" w14:textId="0B4F7BB8" w:rsidR="005F6A50" w:rsidRPr="004F08BD" w:rsidRDefault="005F6A50" w:rsidP="005F6A50">
      <w:pPr>
        <w:spacing w:line="276" w:lineRule="auto"/>
        <w:jc w:val="both"/>
        <w:rPr>
          <w:rFonts w:ascii="Cambria" w:eastAsia="Calibri" w:hAnsi="Cambria" w:cs="Times New Roman"/>
        </w:rPr>
      </w:pPr>
      <w:r w:rsidRPr="004F08BD">
        <w:rPr>
          <w:rFonts w:ascii="Cambria" w:eastAsia="Calibri" w:hAnsi="Cambria" w:cs="Times New Roman"/>
          <w:b/>
          <w:bCs/>
        </w:rPr>
        <w:t xml:space="preserve">Statement of Net Cost </w:t>
      </w:r>
      <w:r w:rsidR="0071704F" w:rsidRPr="00BB4D65">
        <w:rPr>
          <w:rFonts w:ascii="Cambria" w:eastAsia="Calibri" w:hAnsi="Cambria" w:cs="Times New Roman"/>
        </w:rPr>
        <w:t>—</w:t>
      </w:r>
      <w:r w:rsidRPr="004F08BD">
        <w:rPr>
          <w:rFonts w:ascii="Cambria" w:eastAsia="Calibri" w:hAnsi="Cambria" w:cs="Times New Roman"/>
          <w:b/>
          <w:bCs/>
        </w:rPr>
        <w:t xml:space="preserve"> </w:t>
      </w:r>
      <w:r w:rsidRPr="004F08BD">
        <w:rPr>
          <w:rFonts w:ascii="Cambria" w:eastAsia="Calibri" w:hAnsi="Cambria" w:cs="Times New Roman"/>
        </w:rPr>
        <w:t>The Statement of Net Cost reports the results of operations. A commercial company would call this type of document an income statement. As a reflection that most federal programs generate little to no resources on their own, expenses are offset by revenues to determine the net cost for the agency.</w:t>
      </w:r>
      <w:r w:rsidR="00964B3E" w:rsidRPr="004F08BD">
        <w:rPr>
          <w:rFonts w:ascii="Cambria" w:eastAsia="Calibri" w:hAnsi="Cambria" w:cs="Times New Roman"/>
        </w:rPr>
        <w:t xml:space="preserve"> In the absence of revenues, total program costs represent recognized net </w:t>
      </w:r>
      <w:r w:rsidR="00620A1C" w:rsidRPr="004F08BD">
        <w:rPr>
          <w:rFonts w:ascii="Cambria" w:eastAsia="Calibri" w:hAnsi="Cambria" w:cs="Times New Roman"/>
        </w:rPr>
        <w:t>cost</w:t>
      </w:r>
      <w:r w:rsidR="00964B3E" w:rsidRPr="004F08BD">
        <w:rPr>
          <w:rFonts w:ascii="Cambria" w:eastAsia="Calibri" w:hAnsi="Cambria" w:cs="Times New Roman"/>
        </w:rPr>
        <w:t>.</w:t>
      </w:r>
    </w:p>
    <w:p w14:paraId="788D721C" w14:textId="468403EF" w:rsidR="005F6A50" w:rsidRPr="004F08BD" w:rsidRDefault="005F6A50" w:rsidP="005F6A50">
      <w:pPr>
        <w:spacing w:line="276" w:lineRule="auto"/>
        <w:jc w:val="both"/>
        <w:rPr>
          <w:rFonts w:ascii="Cambria" w:eastAsia="Calibri" w:hAnsi="Cambria" w:cs="Times New Roman"/>
        </w:rPr>
      </w:pPr>
      <w:r w:rsidRPr="004F08BD">
        <w:rPr>
          <w:rFonts w:ascii="Cambria" w:eastAsia="Calibri" w:hAnsi="Cambria" w:cs="Times New Roman"/>
          <w:b/>
          <w:bCs/>
        </w:rPr>
        <w:t xml:space="preserve">Statement of Changes in Net Position </w:t>
      </w:r>
      <w:r w:rsidR="0071704F" w:rsidRPr="00BB4D65">
        <w:rPr>
          <w:rFonts w:ascii="Cambria" w:eastAsia="Calibri" w:hAnsi="Cambria" w:cs="Times New Roman"/>
        </w:rPr>
        <w:t>—</w:t>
      </w:r>
      <w:r w:rsidRPr="004F08BD">
        <w:rPr>
          <w:rFonts w:ascii="Cambria" w:eastAsia="Calibri" w:hAnsi="Cambria" w:cs="Times New Roman"/>
        </w:rPr>
        <w:t xml:space="preserve"> The Statement of Changes in Net Position is </w:t>
      </w:r>
      <w:proofErr w:type="gramStart"/>
      <w:r w:rsidRPr="004F08BD">
        <w:rPr>
          <w:rFonts w:ascii="Cambria" w:eastAsia="Calibri" w:hAnsi="Cambria" w:cs="Times New Roman"/>
        </w:rPr>
        <w:t>similar to</w:t>
      </w:r>
      <w:proofErr w:type="gramEnd"/>
      <w:r w:rsidRPr="004F08BD">
        <w:rPr>
          <w:rFonts w:ascii="Cambria" w:eastAsia="Calibri" w:hAnsi="Cambria" w:cs="Times New Roman"/>
        </w:rPr>
        <w:t xml:space="preserve"> a statement of changes in equity for a commercial firm. The statement reflects the impact that changes in assets and liabilities have on the </w:t>
      </w:r>
      <w:r w:rsidR="00964B3E" w:rsidRPr="004F08BD">
        <w:rPr>
          <w:rFonts w:ascii="Cambria" w:eastAsia="Calibri" w:hAnsi="Cambria" w:cs="Times New Roman"/>
        </w:rPr>
        <w:t xml:space="preserve">agency’s </w:t>
      </w:r>
      <w:r w:rsidRPr="004F08BD">
        <w:rPr>
          <w:rFonts w:ascii="Cambria" w:eastAsia="Calibri" w:hAnsi="Cambria" w:cs="Times New Roman"/>
        </w:rPr>
        <w:t>financial position</w:t>
      </w:r>
      <w:r w:rsidR="00964B3E" w:rsidRPr="004F08BD">
        <w:rPr>
          <w:rFonts w:ascii="Cambria" w:eastAsia="Calibri" w:hAnsi="Cambria" w:cs="Times New Roman"/>
        </w:rPr>
        <w:t>.</w:t>
      </w:r>
    </w:p>
    <w:p w14:paraId="655F91F5" w14:textId="5A5E5F49" w:rsidR="005F6A50" w:rsidRPr="004F08BD" w:rsidRDefault="005F6A50" w:rsidP="005F6A50">
      <w:pPr>
        <w:spacing w:line="276" w:lineRule="auto"/>
        <w:jc w:val="both"/>
        <w:rPr>
          <w:rFonts w:ascii="Cambria" w:eastAsia="Calibri" w:hAnsi="Cambria" w:cs="Times New Roman"/>
        </w:rPr>
      </w:pPr>
      <w:r w:rsidRPr="004F08BD">
        <w:rPr>
          <w:rFonts w:ascii="Cambria" w:eastAsia="Calibri" w:hAnsi="Cambria" w:cs="Times New Roman"/>
          <w:b/>
          <w:bCs/>
        </w:rPr>
        <w:t xml:space="preserve">Cumulative Results of Operations </w:t>
      </w:r>
      <w:r w:rsidR="0071704F" w:rsidRPr="00BB4D65">
        <w:rPr>
          <w:rFonts w:ascii="Cambria" w:eastAsia="Calibri" w:hAnsi="Cambria" w:cs="Times New Roman"/>
        </w:rPr>
        <w:t>—</w:t>
      </w:r>
      <w:r w:rsidRPr="004F08BD">
        <w:rPr>
          <w:rFonts w:ascii="Cambria" w:eastAsia="Calibri" w:hAnsi="Cambria" w:cs="Times New Roman"/>
          <w:b/>
          <w:bCs/>
        </w:rPr>
        <w:t xml:space="preserve"> </w:t>
      </w:r>
      <w:r w:rsidRPr="004F08BD">
        <w:rPr>
          <w:rFonts w:ascii="Cambria" w:eastAsia="Calibri" w:hAnsi="Cambria" w:cs="Times New Roman"/>
        </w:rPr>
        <w:t xml:space="preserve">Cumulative Results of Operations are a component of net position on balance sheets representing the historical total for a fund, summing revenues, expenses, gains, losses, transfers of assets and liabilities from other agencies, and other financing sources provided to a fund since its inception. It is similar in concept to retained earnings for a commercial </w:t>
      </w:r>
      <w:r w:rsidR="00AC2CAE" w:rsidRPr="004F08BD">
        <w:rPr>
          <w:rFonts w:ascii="Cambria" w:eastAsia="Calibri" w:hAnsi="Cambria" w:cs="Times New Roman"/>
        </w:rPr>
        <w:t>company</w:t>
      </w:r>
      <w:r w:rsidRPr="004F08BD">
        <w:rPr>
          <w:rFonts w:ascii="Cambria" w:eastAsia="Calibri" w:hAnsi="Cambria" w:cs="Times New Roman"/>
        </w:rPr>
        <w:t>.</w:t>
      </w:r>
    </w:p>
    <w:p w14:paraId="5F6BF30D" w14:textId="620E4F9C" w:rsidR="00BE2772" w:rsidRDefault="005F6A50" w:rsidP="005F6A50">
      <w:pPr>
        <w:spacing w:line="276" w:lineRule="auto"/>
        <w:jc w:val="both"/>
        <w:rPr>
          <w:rFonts w:ascii="Cambria" w:eastAsia="Calibri" w:hAnsi="Cambria" w:cs="Times New Roman"/>
          <w:sz w:val="23"/>
          <w:szCs w:val="23"/>
        </w:rPr>
        <w:sectPr w:rsidR="00BE2772" w:rsidSect="00290378">
          <w:headerReference w:type="first" r:id="rId27"/>
          <w:pgSz w:w="12240" w:h="15840"/>
          <w:pgMar w:top="1980" w:right="1350" w:bottom="1440" w:left="1440" w:header="450" w:footer="720" w:gutter="0"/>
          <w:cols w:space="720"/>
          <w:titlePg/>
          <w:docGrid w:linePitch="360"/>
        </w:sectPr>
      </w:pPr>
      <w:r w:rsidRPr="004F08BD">
        <w:rPr>
          <w:rFonts w:ascii="Cambria" w:eastAsia="Calibri" w:hAnsi="Cambria" w:cs="Times New Roman"/>
          <w:b/>
          <w:bCs/>
        </w:rPr>
        <w:t xml:space="preserve">Statement of Budgetary Resources </w:t>
      </w:r>
      <w:r w:rsidR="0071704F" w:rsidRPr="00BB4D65">
        <w:rPr>
          <w:rFonts w:ascii="Cambria" w:eastAsia="Calibri" w:hAnsi="Cambria" w:cs="Times New Roman"/>
        </w:rPr>
        <w:t>—</w:t>
      </w:r>
      <w:r w:rsidRPr="004F08BD">
        <w:rPr>
          <w:rFonts w:ascii="Cambria" w:eastAsia="Calibri" w:hAnsi="Cambria" w:cs="Times New Roman"/>
        </w:rPr>
        <w:t xml:space="preserve"> The Statement of Budgetary Resources reports on the key components of the budgetary control process. The statement shows the various sources of budgetary authority and resources provided to fund agency activities.</w:t>
      </w:r>
      <w:r w:rsidR="00AC2CAE" w:rsidRPr="004F08BD">
        <w:rPr>
          <w:rFonts w:ascii="Cambria" w:eastAsia="Calibri" w:hAnsi="Cambria" w:cs="Times New Roman"/>
        </w:rPr>
        <w:t xml:space="preserve"> Commercial companies</w:t>
      </w:r>
      <w:r w:rsidRPr="004F08BD">
        <w:rPr>
          <w:rFonts w:ascii="Cambria" w:eastAsia="Calibri" w:hAnsi="Cambria" w:cs="Times New Roman"/>
        </w:rPr>
        <w:t xml:space="preserve"> ha</w:t>
      </w:r>
      <w:r w:rsidR="00AC2CAE" w:rsidRPr="004F08BD">
        <w:rPr>
          <w:rFonts w:ascii="Cambria" w:eastAsia="Calibri" w:hAnsi="Cambria" w:cs="Times New Roman"/>
        </w:rPr>
        <w:t>ve</w:t>
      </w:r>
      <w:r w:rsidRPr="004F08BD">
        <w:rPr>
          <w:rFonts w:ascii="Cambria" w:eastAsia="Calibri" w:hAnsi="Cambria" w:cs="Times New Roman"/>
        </w:rPr>
        <w:t xml:space="preserve"> no similar statement or set of requirements to establish and control budgets in this manner</w:t>
      </w:r>
      <w:r w:rsidRPr="0019237F">
        <w:rPr>
          <w:rFonts w:ascii="Cambria" w:eastAsia="Calibri" w:hAnsi="Cambria" w:cs="Times New Roman"/>
        </w:rPr>
        <w:t>.</w:t>
      </w:r>
    </w:p>
    <w:p w14:paraId="53C01FD4" w14:textId="5A33531C" w:rsidR="005C2C1E" w:rsidRDefault="005C2C1E">
      <w:pPr>
        <w:rPr>
          <w:rFonts w:ascii="Cambria" w:eastAsia="Calibri" w:hAnsi="Cambria" w:cs="Times New Roman"/>
          <w:b/>
          <w:smallCaps/>
          <w:color w:val="3F426F"/>
          <w:sz w:val="14"/>
          <w:szCs w:val="14"/>
        </w:rPr>
      </w:pPr>
      <w:bookmarkStart w:id="31" w:name="_Toc86327249"/>
      <w:bookmarkStart w:id="32" w:name="_Toc85212076"/>
    </w:p>
    <w:p w14:paraId="0740CBED" w14:textId="4C4A26D2" w:rsidR="00F24B0A" w:rsidRPr="00AD7A93" w:rsidRDefault="00F24B0A" w:rsidP="00F24B0A">
      <w:pPr>
        <w:pStyle w:val="Heading1"/>
        <w:rPr>
          <w:smallCaps w:val="0"/>
          <w:color w:val="3F426F"/>
          <w:sz w:val="14"/>
          <w:szCs w:val="14"/>
        </w:rPr>
      </w:pPr>
      <w:bookmarkStart w:id="33" w:name="_Management’s_Discussion_and"/>
      <w:bookmarkStart w:id="34" w:name="_Toc213421225"/>
      <w:bookmarkStart w:id="35" w:name="_Hlk209185737"/>
      <w:bookmarkEnd w:id="33"/>
      <w:r w:rsidRPr="00AD7A93">
        <w:rPr>
          <w:color w:val="3F426F"/>
          <w:sz w:val="14"/>
          <w:szCs w:val="14"/>
        </w:rPr>
        <w:t>Management’s Discussion and Analysis</w:t>
      </w:r>
      <w:bookmarkEnd w:id="34"/>
    </w:p>
    <w:p w14:paraId="174CE953" w14:textId="39D62201" w:rsidR="00B15202" w:rsidRDefault="00B65209">
      <w:pPr>
        <w:rPr>
          <w:rFonts w:ascii="Cambria" w:eastAsia="Calibri" w:hAnsi="Cambria" w:cs="Times New Roman"/>
          <w:b/>
          <w:smallCaps/>
          <w:color w:val="2F5496"/>
          <w:sz w:val="40"/>
          <w:szCs w:val="40"/>
        </w:rPr>
      </w:pPr>
      <w:r>
        <w:rPr>
          <w:noProof/>
        </w:rPr>
        <mc:AlternateContent>
          <mc:Choice Requires="wps">
            <w:drawing>
              <wp:anchor distT="0" distB="0" distL="114300" distR="114300" simplePos="0" relativeHeight="251709952" behindDoc="0" locked="0" layoutInCell="1" allowOverlap="1" wp14:anchorId="7F7BED61" wp14:editId="64B7DF9F">
                <wp:simplePos x="0" y="0"/>
                <wp:positionH relativeFrom="column">
                  <wp:posOffset>-1123315</wp:posOffset>
                </wp:positionH>
                <wp:positionV relativeFrom="paragraph">
                  <wp:posOffset>-1393825</wp:posOffset>
                </wp:positionV>
                <wp:extent cx="7987665" cy="10271760"/>
                <wp:effectExtent l="57150" t="0" r="70485" b="129540"/>
                <wp:wrapNone/>
                <wp:docPr id="1880892725" name="Rectangle 27"/>
                <wp:cNvGraphicFramePr/>
                <a:graphic xmlns:a="http://schemas.openxmlformats.org/drawingml/2006/main">
                  <a:graphicData uri="http://schemas.microsoft.com/office/word/2010/wordprocessingShape">
                    <wps:wsp>
                      <wps:cNvSpPr/>
                      <wps:spPr>
                        <a:xfrm>
                          <a:off x="0" y="0"/>
                          <a:ext cx="7987665" cy="10271760"/>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4466A" id="Rectangle 27" o:spid="_x0000_s1026" style="position:absolute;margin-left:-88.45pt;margin-top:-109.75pt;width:628.95pt;height:808.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" fillcolor="#424e62" strokecolor="#0b0f19 [484]" strokeweight="1pt">
                <v:shadow on="t" color="black" offset="0,4pt"/>
              </v:rect>
            </w:pict>
          </mc:Fallback>
        </mc:AlternateContent>
      </w:r>
      <w:r w:rsidRPr="00BD19DA">
        <w:rPr>
          <w:noProof/>
          <w:color w:val="3F426F"/>
        </w:rPr>
        <mc:AlternateContent>
          <mc:Choice Requires="wps">
            <w:drawing>
              <wp:anchor distT="45720" distB="45720" distL="114300" distR="114300" simplePos="0" relativeHeight="251712000" behindDoc="0" locked="0" layoutInCell="1" allowOverlap="1" wp14:anchorId="4E844C11" wp14:editId="5BB36C75">
                <wp:simplePos x="0" y="0"/>
                <wp:positionH relativeFrom="margin">
                  <wp:posOffset>61595</wp:posOffset>
                </wp:positionH>
                <wp:positionV relativeFrom="paragraph">
                  <wp:posOffset>608330</wp:posOffset>
                </wp:positionV>
                <wp:extent cx="5925185" cy="1524000"/>
                <wp:effectExtent l="0" t="0" r="0" b="0"/>
                <wp:wrapSquare wrapText="bothSides"/>
                <wp:docPr id="403830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1524000"/>
                        </a:xfrm>
                        <a:prstGeom prst="rect">
                          <a:avLst/>
                        </a:prstGeom>
                        <a:noFill/>
                        <a:ln w="9525">
                          <a:noFill/>
                          <a:miter lim="800000"/>
                          <a:headEnd/>
                          <a:tailEnd/>
                        </a:ln>
                      </wps:spPr>
                      <wps:txbx>
                        <w:txbxContent>
                          <w:p w14:paraId="1C7BD6B4" w14:textId="3785317A" w:rsidR="00541267" w:rsidRPr="000E6D50" w:rsidRDefault="00541267" w:rsidP="00541267">
                            <w:pPr>
                              <w:jc w:val="center"/>
                              <w:rPr>
                                <w:smallCaps/>
                                <w:color w:val="FFFFFF" w:themeColor="background1"/>
                                <w:spacing w:val="40"/>
                                <w:sz w:val="72"/>
                                <w:szCs w:val="72"/>
                              </w:rPr>
                            </w:pPr>
                            <w:r w:rsidRPr="000E6D50">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Management’s Discussion and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44C11" id="_x0000_s1031" type="#_x0000_t202" style="position:absolute;margin-left:4.85pt;margin-top:47.9pt;width:466.55pt;height:120pt;z-index:25171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" filled="f" stroked="f">
                <v:textbox>
                  <w:txbxContent>
                    <w:p w14:paraId="1C7BD6B4" w14:textId="3785317A" w:rsidR="00541267" w:rsidRPr="000E6D50" w:rsidRDefault="00541267" w:rsidP="00541267">
                      <w:pPr>
                        <w:jc w:val="center"/>
                        <w:rPr>
                          <w:smallCaps/>
                          <w:color w:val="FFFFFF" w:themeColor="background1"/>
                          <w:spacing w:val="40"/>
                          <w:sz w:val="72"/>
                          <w:szCs w:val="72"/>
                        </w:rPr>
                      </w:pPr>
                      <w:r w:rsidRPr="000E6D50">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Management’s Discussion and Analysis</w:t>
                      </w:r>
                    </w:p>
                  </w:txbxContent>
                </v:textbox>
                <w10:wrap type="square" anchorx="margin"/>
              </v:shape>
            </w:pict>
          </mc:Fallback>
        </mc:AlternateContent>
      </w:r>
      <w:r w:rsidRPr="00BD19DA">
        <w:rPr>
          <w:b/>
          <w:bCs/>
          <w:caps/>
          <w:noProof/>
          <w:color w:val="3F426F"/>
          <w:spacing w:val="40"/>
        </w:rPr>
        <w:drawing>
          <wp:anchor distT="0" distB="0" distL="114300" distR="114300" simplePos="0" relativeHeight="251714048" behindDoc="0" locked="0" layoutInCell="1" allowOverlap="1" wp14:anchorId="32B2DBE9" wp14:editId="039A9ADB">
            <wp:simplePos x="0" y="0"/>
            <wp:positionH relativeFrom="margin">
              <wp:posOffset>2082800</wp:posOffset>
            </wp:positionH>
            <wp:positionV relativeFrom="page">
              <wp:posOffset>4067175</wp:posOffset>
            </wp:positionV>
            <wp:extent cx="1975485" cy="1944370"/>
            <wp:effectExtent l="0" t="0" r="5715" b="0"/>
            <wp:wrapSquare wrapText="bothSides"/>
            <wp:docPr id="1015721198"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5485" cy="1944370"/>
                    </a:xfrm>
                    <a:prstGeom prst="rect">
                      <a:avLst/>
                    </a:prstGeom>
                  </pic:spPr>
                </pic:pic>
              </a:graphicData>
            </a:graphic>
            <wp14:sizeRelH relativeFrom="margin">
              <wp14:pctWidth>0</wp14:pctWidth>
            </wp14:sizeRelH>
            <wp14:sizeRelV relativeFrom="margin">
              <wp14:pctHeight>0</wp14:pctHeight>
            </wp14:sizeRelV>
          </wp:anchor>
        </w:drawing>
      </w:r>
      <w:r w:rsidR="00B15202">
        <w:br w:type="page"/>
      </w:r>
    </w:p>
    <w:p w14:paraId="3BA4BAB3" w14:textId="09AF73B1" w:rsidR="0018052B" w:rsidRPr="0018052B" w:rsidRDefault="0018052B" w:rsidP="00A47B91">
      <w:pPr>
        <w:pStyle w:val="Heading2"/>
      </w:pPr>
      <w:bookmarkStart w:id="36" w:name="_Toc85212077"/>
      <w:bookmarkStart w:id="37" w:name="_Toc86327250"/>
      <w:bookmarkStart w:id="38" w:name="_Toc179295652"/>
      <w:bookmarkStart w:id="39" w:name="_Toc213421226"/>
      <w:bookmarkEnd w:id="31"/>
      <w:bookmarkEnd w:id="32"/>
      <w:r w:rsidRPr="0018052B">
        <w:lastRenderedPageBreak/>
        <w:t>Mission</w:t>
      </w:r>
      <w:r w:rsidR="00FB12D3">
        <w:t xml:space="preserve"> and Organization Structure</w:t>
      </w:r>
      <w:bookmarkEnd w:id="36"/>
      <w:bookmarkEnd w:id="37"/>
      <w:bookmarkEnd w:id="38"/>
      <w:bookmarkEnd w:id="39"/>
      <w:r w:rsidRPr="0018052B">
        <w:t xml:space="preserve"> </w:t>
      </w:r>
    </w:p>
    <w:p w14:paraId="3FABEB65" w14:textId="5074C29A" w:rsidR="00FB12D3" w:rsidRPr="00FB12D3" w:rsidRDefault="00FB12D3" w:rsidP="00FB12D3">
      <w:pPr>
        <w:keepNext/>
        <w:keepLines/>
        <w:pBdr>
          <w:bottom w:val="single" w:sz="12" w:space="3" w:color="auto"/>
        </w:pBdr>
        <w:spacing w:before="160" w:after="80"/>
        <w:outlineLvl w:val="2"/>
        <w:rPr>
          <w:rFonts w:ascii="Cambria" w:eastAsiaTheme="majorEastAsia" w:hAnsi="Cambria" w:cstheme="majorBidi"/>
          <w:b/>
          <w:bCs/>
          <w:smallCaps/>
          <w:color w:val="374C80" w:themeColor="accent1" w:themeShade="BF"/>
          <w:sz w:val="28"/>
          <w:szCs w:val="28"/>
        </w:rPr>
      </w:pPr>
      <w:bookmarkStart w:id="40" w:name="_Toc212119653"/>
      <w:bookmarkStart w:id="41" w:name="_Toc213421227"/>
      <w:r w:rsidRPr="00FB12D3">
        <w:rPr>
          <w:rFonts w:ascii="Cambria" w:eastAsiaTheme="majorEastAsia" w:hAnsi="Cambria" w:cstheme="majorBidi"/>
          <w:b/>
          <w:bCs/>
          <w:smallCaps/>
          <w:color w:val="374C80" w:themeColor="accent1" w:themeShade="BF"/>
          <w:sz w:val="28"/>
          <w:szCs w:val="28"/>
        </w:rPr>
        <w:t>Our Mission</w:t>
      </w:r>
      <w:bookmarkEnd w:id="40"/>
      <w:bookmarkEnd w:id="41"/>
    </w:p>
    <w:p w14:paraId="2BAE8589" w14:textId="2B98DBDE" w:rsidR="0018052B" w:rsidRPr="0018052B" w:rsidRDefault="0080464D" w:rsidP="0018052B">
      <w:pPr>
        <w:spacing w:line="276" w:lineRule="auto"/>
        <w:jc w:val="both"/>
        <w:rPr>
          <w:rFonts w:ascii="Cambria" w:eastAsia="Times New Roman" w:hAnsi="Cambria"/>
          <w:sz w:val="24"/>
          <w:szCs w:val="24"/>
        </w:rPr>
      </w:pPr>
      <w:r>
        <w:rPr>
          <w:noProof/>
        </w:rPr>
        <mc:AlternateContent>
          <mc:Choice Requires="wps">
            <w:drawing>
              <wp:anchor distT="91440" distB="91440" distL="91440" distR="91440" simplePos="0" relativeHeight="252071424" behindDoc="1" locked="0" layoutInCell="1" allowOverlap="0" wp14:anchorId="0D0D55EF" wp14:editId="5A14D63E">
                <wp:simplePos x="0" y="0"/>
                <wp:positionH relativeFrom="column">
                  <wp:posOffset>4267200</wp:posOffset>
                </wp:positionH>
                <wp:positionV relativeFrom="page">
                  <wp:posOffset>2419350</wp:posOffset>
                </wp:positionV>
                <wp:extent cx="1678940" cy="2971800"/>
                <wp:effectExtent l="76200" t="76200" r="130810" b="133350"/>
                <wp:wrapTight wrapText="bothSides">
                  <wp:wrapPolygon edited="0">
                    <wp:start x="-490" y="-554"/>
                    <wp:lineTo x="-980" y="-415"/>
                    <wp:lineTo x="-980" y="21738"/>
                    <wp:lineTo x="-490" y="22431"/>
                    <wp:lineTo x="22548" y="22431"/>
                    <wp:lineTo x="23038" y="21738"/>
                    <wp:lineTo x="23038" y="1800"/>
                    <wp:lineTo x="22548" y="-277"/>
                    <wp:lineTo x="22548" y="-554"/>
                    <wp:lineTo x="-490" y="-554"/>
                  </wp:wrapPolygon>
                </wp:wrapTight>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2971800"/>
                        </a:xfrm>
                        <a:prstGeom prst="rect">
                          <a:avLst/>
                        </a:prstGeom>
                        <a:solidFill>
                          <a:srgbClr val="333F50"/>
                        </a:solidFill>
                        <a:ln w="76200" cmpd="dbl">
                          <a:solidFill>
                            <a:schemeClr val="tx2"/>
                          </a:solidFill>
                          <a:miter lim="800000"/>
                          <a:headEnd/>
                          <a:tailEnd/>
                        </a:ln>
                        <a:effectLst>
                          <a:outerShdw blurRad="50800" dist="38100" dir="2700000" algn="tl" rotWithShape="0">
                            <a:prstClr val="black">
                              <a:alpha val="40000"/>
                            </a:prstClr>
                          </a:outerShdw>
                        </a:effectLst>
                      </wps:spPr>
                      <wps:txbx>
                        <w:txbxContent>
                          <w:p w14:paraId="54D01D9C" w14:textId="4FE06139" w:rsidR="00FB12D3" w:rsidRPr="00EE3EAB" w:rsidRDefault="00FB12D3" w:rsidP="0080464D">
                            <w:pPr>
                              <w:spacing w:after="0"/>
                              <w:jc w:val="right"/>
                              <w:rPr>
                                <w:b/>
                                <w:bCs/>
                                <w:color w:val="FFFFFF" w:themeColor="background1"/>
                                <w:sz w:val="28"/>
                              </w:rPr>
                            </w:pPr>
                            <w:r w:rsidRPr="00EE3EAB">
                              <w:rPr>
                                <w:b/>
                                <w:bCs/>
                                <w:color w:val="FFFFFF" w:themeColor="background1"/>
                                <w:sz w:val="28"/>
                                <w:szCs w:val="28"/>
                              </w:rPr>
                              <w:t>PCLOB’s mission is to ensure that the executive branch’s efforts to prevent terrorism are balanced with the need to protect privacy and civil liberties.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0D55EF" id="Rectangle 4" o:spid="_x0000_s1032" style="position:absolute;left:0;text-align:left;margin-left:336pt;margin-top:190.5pt;width:132.2pt;height:234pt;z-index:-251245056;visibility:visible;mso-wrap-style:square;mso-width-percent:0;mso-height-percent:0;mso-wrap-distance-left:7.2pt;mso-wrap-distance-top:7.2pt;mso-wrap-distance-right:7.2pt;mso-wrap-distance-bottom:7.2pt;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" o:allowoverlap="f" fillcolor="#333f50" strokecolor="#242852 [3215]" strokeweight="6pt">
                <v:stroke linestyle="thinThin"/>
                <v:shadow on="t" color="black" opacity="26214f" origin="-.5,-.5" offset=".74836mm,.74836mm"/>
                <v:textbox inset="14.4pt,14.4pt,14.4pt,14.4pt">
                  <w:txbxContent>
                    <w:p w14:paraId="54D01D9C" w14:textId="4FE06139" w:rsidR="00FB12D3" w:rsidRPr="00EE3EAB" w:rsidRDefault="00FB12D3" w:rsidP="0080464D">
                      <w:pPr>
                        <w:spacing w:after="0"/>
                        <w:jc w:val="right"/>
                        <w:rPr>
                          <w:b/>
                          <w:bCs/>
                          <w:color w:val="FFFFFF" w:themeColor="background1"/>
                          <w:sz w:val="28"/>
                        </w:rPr>
                      </w:pPr>
                      <w:r w:rsidRPr="00EE3EAB">
                        <w:rPr>
                          <w:b/>
                          <w:bCs/>
                          <w:color w:val="FFFFFF" w:themeColor="background1"/>
                          <w:sz w:val="28"/>
                          <w:szCs w:val="28"/>
                        </w:rPr>
                        <w:t>PCLOB’s mission is to ensure that the executive branch’s efforts to prevent terrorism are balanced with the need to protect privacy and civil liberties.</w:t>
                      </w:r>
                    </w:p>
                  </w:txbxContent>
                </v:textbox>
                <w10:wrap type="tight" anchory="page"/>
              </v:rect>
            </w:pict>
          </mc:Fallback>
        </mc:AlternateContent>
      </w:r>
      <w:r w:rsidR="0018052B" w:rsidRPr="0018052B">
        <w:rPr>
          <w:rFonts w:ascii="Cambria" w:eastAsia="Times New Roman" w:hAnsi="Cambria"/>
          <w:sz w:val="24"/>
          <w:szCs w:val="24"/>
        </w:rPr>
        <w:t xml:space="preserve">PCLOB’s mission is to ensure that the executive branch’s efforts to prevent terrorism are balanced with the need to protect privacy and civil liberties. Specifically, the agency’s enabling statute, </w:t>
      </w:r>
      <w:hyperlink r:id="rId28" w:history="1">
        <w:r w:rsidR="00E81569" w:rsidRPr="00E81569">
          <w:rPr>
            <w:rStyle w:val="Hyperlink"/>
            <w:rFonts w:ascii="Cambria" w:eastAsia="Times New Roman" w:hAnsi="Cambria"/>
            <w:sz w:val="24"/>
            <w:szCs w:val="24"/>
          </w:rPr>
          <w:t>42 United States Code (U.S.C.) § 2000ee</w:t>
        </w:r>
      </w:hyperlink>
      <w:r w:rsidR="00E81569" w:rsidRPr="00AC59B8">
        <w:t>,</w:t>
      </w:r>
      <w:r w:rsidR="0018052B" w:rsidRPr="0018052B">
        <w:rPr>
          <w:rFonts w:ascii="Cambria" w:eastAsia="Times New Roman" w:hAnsi="Cambria"/>
          <w:sz w:val="24"/>
          <w:szCs w:val="24"/>
        </w:rPr>
        <w:t xml:space="preserve"> authorizes it to “analyze and review actions the executive branch takes to protect the Nation from terrorism, ensuring that the need for such actions is balanced with the need to protect privacy and civil liberties,” and to “ensure that liberty concerns are appropriately considered in the development and implementation of laws, regulations, and policies related to efforts to protect the Nation against terrorism.”</w:t>
      </w:r>
    </w:p>
    <w:p w14:paraId="61459E87" w14:textId="01868FB6" w:rsidR="0018052B" w:rsidRPr="0018052B" w:rsidRDefault="0018052B" w:rsidP="0018052B">
      <w:pPr>
        <w:shd w:val="clear" w:color="auto" w:fill="FFFFFF"/>
        <w:spacing w:after="0" w:line="276" w:lineRule="auto"/>
        <w:jc w:val="both"/>
        <w:rPr>
          <w:rFonts w:ascii="Cambria" w:eastAsia="Times New Roman" w:hAnsi="Cambria"/>
          <w:sz w:val="24"/>
          <w:szCs w:val="24"/>
        </w:rPr>
      </w:pPr>
      <w:r w:rsidRPr="0018052B">
        <w:rPr>
          <w:rFonts w:ascii="Cambria" w:eastAsia="Times New Roman" w:hAnsi="Cambria"/>
          <w:sz w:val="24"/>
          <w:szCs w:val="24"/>
        </w:rPr>
        <w:t xml:space="preserve">PCLOB’s mission encompasses two core functions: providing advice and conducting oversight. </w:t>
      </w:r>
    </w:p>
    <w:p w14:paraId="07181AAA" w14:textId="5A97BB56" w:rsidR="0018052B" w:rsidRPr="0018052B" w:rsidRDefault="0018052B" w:rsidP="00DD243C">
      <w:pPr>
        <w:shd w:val="clear" w:color="auto" w:fill="FFFFFF"/>
        <w:spacing w:before="240" w:after="0" w:line="276" w:lineRule="auto"/>
        <w:jc w:val="both"/>
        <w:rPr>
          <w:rFonts w:ascii="Cambria" w:eastAsia="Times New Roman" w:hAnsi="Cambria"/>
          <w:sz w:val="24"/>
          <w:szCs w:val="24"/>
        </w:rPr>
      </w:pPr>
      <w:r w:rsidRPr="0018052B">
        <w:rPr>
          <w:rFonts w:ascii="Cambria" w:eastAsia="Times New Roman" w:hAnsi="Cambria"/>
          <w:b/>
          <w:bCs/>
          <w:i/>
          <w:iCs/>
          <w:sz w:val="24"/>
          <w:szCs w:val="24"/>
        </w:rPr>
        <w:t xml:space="preserve">Advice </w:t>
      </w:r>
      <w:r w:rsidR="0071704F">
        <w:rPr>
          <w:rFonts w:ascii="Cambria" w:eastAsia="Times New Roman" w:hAnsi="Cambria"/>
          <w:b/>
          <w:bCs/>
          <w:i/>
          <w:iCs/>
          <w:sz w:val="24"/>
          <w:szCs w:val="24"/>
        </w:rPr>
        <w:t>—</w:t>
      </w:r>
      <w:r w:rsidRPr="0018052B">
        <w:rPr>
          <w:rFonts w:ascii="Cambria" w:eastAsia="Times New Roman" w:hAnsi="Cambria"/>
          <w:sz w:val="24"/>
          <w:szCs w:val="24"/>
        </w:rPr>
        <w:t xml:space="preserve"> </w:t>
      </w:r>
      <w:r w:rsidR="00126B07">
        <w:rPr>
          <w:rFonts w:ascii="Cambria" w:eastAsia="Times New Roman" w:hAnsi="Cambria"/>
          <w:sz w:val="24"/>
          <w:szCs w:val="24"/>
        </w:rPr>
        <w:t>PCLOB has dut</w:t>
      </w:r>
      <w:r w:rsidR="00BC05E3">
        <w:rPr>
          <w:rFonts w:ascii="Cambria" w:eastAsia="Times New Roman" w:hAnsi="Cambria"/>
          <w:sz w:val="24"/>
          <w:szCs w:val="24"/>
        </w:rPr>
        <w:t xml:space="preserve">ies </w:t>
      </w:r>
      <w:r w:rsidR="00126B07">
        <w:rPr>
          <w:rFonts w:ascii="Cambria" w:eastAsia="Times New Roman" w:hAnsi="Cambria"/>
          <w:sz w:val="24"/>
          <w:szCs w:val="24"/>
        </w:rPr>
        <w:t xml:space="preserve">to review the </w:t>
      </w:r>
      <w:r w:rsidR="00126B07" w:rsidRPr="00126B07">
        <w:rPr>
          <w:rFonts w:ascii="Cambria" w:eastAsia="Times New Roman" w:hAnsi="Cambria"/>
          <w:sz w:val="24"/>
          <w:szCs w:val="24"/>
        </w:rPr>
        <w:t>development and implementation</w:t>
      </w:r>
      <w:r w:rsidR="00126B07">
        <w:rPr>
          <w:rFonts w:ascii="Cambria" w:eastAsia="Times New Roman" w:hAnsi="Cambria"/>
          <w:sz w:val="24"/>
          <w:szCs w:val="24"/>
        </w:rPr>
        <w:t xml:space="preserve"> </w:t>
      </w:r>
      <w:r w:rsidR="00BC05E3">
        <w:rPr>
          <w:rFonts w:ascii="Cambria" w:eastAsia="Times New Roman" w:hAnsi="Cambria"/>
          <w:sz w:val="24"/>
          <w:szCs w:val="24"/>
        </w:rPr>
        <w:t xml:space="preserve">of </w:t>
      </w:r>
      <w:r w:rsidR="00126B07">
        <w:rPr>
          <w:rFonts w:ascii="Cambria" w:eastAsia="Times New Roman" w:hAnsi="Cambria"/>
          <w:sz w:val="24"/>
          <w:szCs w:val="24"/>
        </w:rPr>
        <w:t xml:space="preserve">proposed, new, and existing legislation, regulations, and policies related to efforts to protect the nation from terrorism and to provide advice to </w:t>
      </w:r>
      <w:r w:rsidR="00D92E04">
        <w:rPr>
          <w:rFonts w:ascii="Cambria" w:eastAsia="Times New Roman" w:hAnsi="Cambria"/>
          <w:sz w:val="24"/>
          <w:szCs w:val="24"/>
        </w:rPr>
        <w:t>t</w:t>
      </w:r>
      <w:r w:rsidR="00D92E04" w:rsidRPr="00D92E04">
        <w:rPr>
          <w:rFonts w:ascii="Cambria" w:eastAsia="Times New Roman" w:hAnsi="Cambria"/>
          <w:sz w:val="24"/>
          <w:szCs w:val="24"/>
        </w:rPr>
        <w:t>he President and the departments, agencies, and elements of the</w:t>
      </w:r>
      <w:r w:rsidR="00D92E04">
        <w:rPr>
          <w:rFonts w:ascii="Cambria" w:eastAsia="Times New Roman" w:hAnsi="Cambria"/>
          <w:sz w:val="24"/>
          <w:szCs w:val="24"/>
        </w:rPr>
        <w:t xml:space="preserve"> e</w:t>
      </w:r>
      <w:r w:rsidRPr="0018052B">
        <w:rPr>
          <w:rFonts w:ascii="Cambria" w:eastAsia="Times New Roman" w:hAnsi="Cambria"/>
          <w:sz w:val="24"/>
          <w:szCs w:val="24"/>
        </w:rPr>
        <w:t>xecutive branch to ensure privacy and civil liberties protections are appropriately considered.</w:t>
      </w:r>
    </w:p>
    <w:p w14:paraId="66366D2A" w14:textId="4CF2CFBD" w:rsidR="0018052B" w:rsidRPr="000C50CC" w:rsidRDefault="0018052B" w:rsidP="00DD243C">
      <w:pPr>
        <w:spacing w:before="240" w:line="276" w:lineRule="auto"/>
        <w:jc w:val="both"/>
        <w:rPr>
          <w:rFonts w:ascii="Times New Roman" w:eastAsia="Times New Roman" w:hAnsi="Times New Roman"/>
          <w:sz w:val="24"/>
          <w:szCs w:val="24"/>
        </w:rPr>
      </w:pPr>
      <w:r w:rsidRPr="0018052B">
        <w:rPr>
          <w:rFonts w:ascii="Cambria" w:eastAsia="Times New Roman" w:hAnsi="Cambria"/>
          <w:b/>
          <w:bCs/>
          <w:i/>
          <w:iCs/>
          <w:sz w:val="24"/>
          <w:szCs w:val="24"/>
        </w:rPr>
        <w:t xml:space="preserve">Oversight </w:t>
      </w:r>
      <w:r w:rsidR="0071704F">
        <w:rPr>
          <w:rFonts w:ascii="Cambria" w:eastAsia="Times New Roman" w:hAnsi="Cambria"/>
          <w:b/>
          <w:bCs/>
          <w:i/>
          <w:iCs/>
          <w:sz w:val="24"/>
          <w:szCs w:val="24"/>
        </w:rPr>
        <w:t>—</w:t>
      </w:r>
      <w:r w:rsidRPr="0018052B">
        <w:rPr>
          <w:rFonts w:ascii="Cambria" w:eastAsia="Times New Roman" w:hAnsi="Cambria"/>
          <w:sz w:val="24"/>
          <w:szCs w:val="24"/>
        </w:rPr>
        <w:t xml:space="preserve"> PCLOB is charged with continually reviewing (1) regulations, policies, and procedures within the agency’s jurisdiction to ensure that privacy and civil liberties are protected</w:t>
      </w:r>
      <w:r w:rsidR="00D92E04">
        <w:rPr>
          <w:rFonts w:ascii="Cambria" w:eastAsia="Times New Roman" w:hAnsi="Cambria"/>
          <w:sz w:val="24"/>
          <w:szCs w:val="24"/>
        </w:rPr>
        <w:t xml:space="preserve">; </w:t>
      </w:r>
      <w:r w:rsidRPr="0018052B">
        <w:rPr>
          <w:rFonts w:ascii="Cambria" w:eastAsia="Times New Roman" w:hAnsi="Cambria"/>
          <w:sz w:val="24"/>
          <w:szCs w:val="24"/>
        </w:rPr>
        <w:t xml:space="preserve">(2) </w:t>
      </w:r>
      <w:r w:rsidR="00D92E04" w:rsidRPr="00D92E04">
        <w:rPr>
          <w:rFonts w:ascii="Cambria" w:eastAsia="Times New Roman" w:hAnsi="Cambria"/>
          <w:sz w:val="24"/>
          <w:szCs w:val="24"/>
        </w:rPr>
        <w:t>the information sharing practices of the departments, agencies, and elements of the executive branch relating to efforts to protect the Nation from terrorism to determine whether they appropriately protect privacy and civil liberties and adhere to the information sharing guidelines issued or developed under subsections (d) and (f) of</w:t>
      </w:r>
      <w:r w:rsidR="001C42AD">
        <w:rPr>
          <w:rFonts w:ascii="Cambria" w:eastAsia="Times New Roman" w:hAnsi="Cambria"/>
          <w:sz w:val="24"/>
          <w:szCs w:val="24"/>
        </w:rPr>
        <w:t xml:space="preserve"> </w:t>
      </w:r>
      <w:hyperlink r:id="rId29" w:history="1">
        <w:r w:rsidR="00D92E04" w:rsidRPr="00D92E04">
          <w:rPr>
            <w:rStyle w:val="Hyperlink"/>
            <w:rFonts w:ascii="Cambria" w:eastAsia="Times New Roman" w:hAnsi="Cambria"/>
            <w:sz w:val="24"/>
            <w:szCs w:val="24"/>
          </w:rPr>
          <w:t>section 485 of title 6</w:t>
        </w:r>
      </w:hyperlink>
      <w:r w:rsidR="001C42AD">
        <w:rPr>
          <w:rFonts w:ascii="Cambria" w:eastAsia="Times New Roman" w:hAnsi="Cambria"/>
          <w:sz w:val="24"/>
          <w:szCs w:val="24"/>
        </w:rPr>
        <w:t xml:space="preserve"> </w:t>
      </w:r>
      <w:r w:rsidR="00D92E04" w:rsidRPr="00D92E04">
        <w:rPr>
          <w:rFonts w:ascii="Cambria" w:eastAsia="Times New Roman" w:hAnsi="Cambria"/>
          <w:sz w:val="24"/>
          <w:szCs w:val="24"/>
        </w:rPr>
        <w:t>and to other governing laws, regulations, and policies regarding privacy and civil liberties</w:t>
      </w:r>
      <w:r w:rsidR="00D92E04">
        <w:rPr>
          <w:rFonts w:ascii="Cambria" w:eastAsia="Times New Roman" w:hAnsi="Cambria"/>
          <w:sz w:val="24"/>
          <w:szCs w:val="24"/>
        </w:rPr>
        <w:t xml:space="preserve">; and (3) </w:t>
      </w:r>
      <w:r w:rsidRPr="0018052B">
        <w:rPr>
          <w:rFonts w:ascii="Cambria" w:eastAsia="Times New Roman" w:hAnsi="Cambria"/>
          <w:sz w:val="24"/>
          <w:szCs w:val="24"/>
        </w:rPr>
        <w:t>other actions within the agency’s jurisdiction to ensure that those actions appropriately protect privacy and civil liberties and are consistent with governing laws, regulations, and policies regarding privacy and civil liberties.</w:t>
      </w:r>
      <w:r w:rsidRPr="000C50CC">
        <w:rPr>
          <w:rFonts w:ascii="Times New Roman" w:eastAsia="Times New Roman" w:hAnsi="Times New Roman"/>
          <w:sz w:val="24"/>
          <w:szCs w:val="24"/>
        </w:rPr>
        <w:tab/>
      </w:r>
    </w:p>
    <w:p w14:paraId="6FD2DF6A" w14:textId="77777777" w:rsidR="0018052B" w:rsidRPr="00FB12D3" w:rsidRDefault="0018052B" w:rsidP="00FB12D3">
      <w:pPr>
        <w:keepNext/>
        <w:keepLines/>
        <w:pBdr>
          <w:bottom w:val="single" w:sz="12" w:space="3" w:color="auto"/>
        </w:pBdr>
        <w:spacing w:before="160" w:after="80"/>
        <w:outlineLvl w:val="2"/>
        <w:rPr>
          <w:rFonts w:ascii="Cambria" w:eastAsiaTheme="majorEastAsia" w:hAnsi="Cambria" w:cstheme="majorBidi"/>
          <w:b/>
          <w:bCs/>
          <w:smallCaps/>
          <w:color w:val="374C80" w:themeColor="accent1" w:themeShade="BF"/>
          <w:sz w:val="28"/>
          <w:szCs w:val="28"/>
        </w:rPr>
      </w:pPr>
      <w:bookmarkStart w:id="42" w:name="_Toc85212078"/>
      <w:bookmarkStart w:id="43" w:name="_Toc86327251"/>
      <w:bookmarkStart w:id="44" w:name="_Toc179295653"/>
      <w:bookmarkStart w:id="45" w:name="_Toc212119654"/>
      <w:bookmarkStart w:id="46" w:name="_Toc213421228"/>
      <w:r w:rsidRPr="00FB12D3">
        <w:rPr>
          <w:rFonts w:ascii="Cambria" w:eastAsiaTheme="majorEastAsia" w:hAnsi="Cambria" w:cstheme="majorBidi"/>
          <w:b/>
          <w:bCs/>
          <w:smallCaps/>
          <w:color w:val="374C80" w:themeColor="accent1" w:themeShade="BF"/>
          <w:sz w:val="28"/>
          <w:szCs w:val="28"/>
        </w:rPr>
        <w:t>PCLOB History and Authorities</w:t>
      </w:r>
      <w:bookmarkEnd w:id="42"/>
      <w:bookmarkEnd w:id="43"/>
      <w:bookmarkEnd w:id="44"/>
      <w:bookmarkEnd w:id="45"/>
      <w:bookmarkEnd w:id="46"/>
    </w:p>
    <w:p w14:paraId="18A8BCD6" w14:textId="460E19BC" w:rsidR="0018052B" w:rsidRPr="000C50CC" w:rsidRDefault="0018052B" w:rsidP="007A6E0A">
      <w:pPr>
        <w:shd w:val="clear" w:color="auto" w:fill="FFFFFF"/>
        <w:spacing w:line="276" w:lineRule="auto"/>
        <w:jc w:val="both"/>
        <w:rPr>
          <w:rFonts w:ascii="Cambria" w:hAnsi="Cambria"/>
          <w:sz w:val="24"/>
        </w:rPr>
      </w:pPr>
      <w:r>
        <w:rPr>
          <w:rFonts w:ascii="Cambria" w:eastAsia="Times New Roman" w:hAnsi="Cambria"/>
          <w:sz w:val="24"/>
          <w:szCs w:val="24"/>
        </w:rPr>
        <w:t>PCLOB</w:t>
      </w:r>
      <w:r w:rsidRPr="000C50CC">
        <w:rPr>
          <w:rFonts w:ascii="Cambria" w:eastAsia="Times New Roman" w:hAnsi="Cambria"/>
          <w:sz w:val="24"/>
          <w:szCs w:val="24"/>
        </w:rPr>
        <w:t xml:space="preserve"> was created on the recommendation of the National Commission on Terrorist Attacks Upon the United States (the 9/11 Commission) in its 2004 </w:t>
      </w:r>
      <w:hyperlink r:id="rId30" w:history="1">
        <w:r w:rsidRPr="0016288B">
          <w:rPr>
            <w:rStyle w:val="Hyperlink"/>
            <w:rFonts w:ascii="Cambria" w:eastAsia="Times New Roman" w:hAnsi="Cambria"/>
            <w:sz w:val="24"/>
            <w:szCs w:val="24"/>
          </w:rPr>
          <w:t>report</w:t>
        </w:r>
      </w:hyperlink>
      <w:r w:rsidRPr="000C50CC">
        <w:rPr>
          <w:rFonts w:ascii="Cambria" w:eastAsia="Times New Roman" w:hAnsi="Cambria"/>
          <w:sz w:val="24"/>
          <w:szCs w:val="24"/>
        </w:rPr>
        <w:t xml:space="preserve">. The 9/11 Commission acknowledged that many of its recommendations “call[ed] for the government to increase its presence in our lives—for example, by creating standards for the issuance of forms of </w:t>
      </w:r>
      <w:r w:rsidRPr="000C50CC">
        <w:rPr>
          <w:rFonts w:ascii="Cambria" w:eastAsia="Times New Roman" w:hAnsi="Cambria"/>
          <w:sz w:val="24"/>
          <w:szCs w:val="24"/>
        </w:rPr>
        <w:lastRenderedPageBreak/>
        <w:t xml:space="preserve">identification, by better securing our borders, by sharing information gathered by many different agencies,” and by consolidating authority over intelligence agencies under a new Director of National Intelligence. </w:t>
      </w:r>
      <w:r w:rsidRPr="000C50CC">
        <w:rPr>
          <w:rFonts w:ascii="Cambria" w:hAnsi="Cambria"/>
          <w:sz w:val="24"/>
        </w:rPr>
        <w:t>Recognizing that “this shift of power and authority to the government” would require “an enhanced system of checks and balances to protect the precious liberties that are vital to our way of life,” the 9/11 Commission recommended that “there should be a board within the executive branch to oversee adherence to the guidelines we recommend and the commitment the government makes to defend our civil liberties.”</w:t>
      </w:r>
    </w:p>
    <w:p w14:paraId="1C6129B9" w14:textId="2434C34C" w:rsidR="0018052B" w:rsidRPr="000C50CC" w:rsidRDefault="0018052B" w:rsidP="007A6E0A">
      <w:pPr>
        <w:keepNext/>
        <w:keepLines/>
        <w:spacing w:line="276" w:lineRule="auto"/>
        <w:jc w:val="both"/>
        <w:rPr>
          <w:rFonts w:ascii="Cambria" w:hAnsi="Cambria"/>
          <w:sz w:val="24"/>
          <w:szCs w:val="24"/>
        </w:rPr>
      </w:pPr>
      <w:r w:rsidRPr="000C50CC">
        <w:rPr>
          <w:rFonts w:ascii="Cambria" w:eastAsia="Times New Roman" w:hAnsi="Cambria"/>
          <w:sz w:val="24"/>
          <w:szCs w:val="24"/>
        </w:rPr>
        <w:t xml:space="preserve">Through the Intelligence Reform and Terrorism Prevention Act of 2004, Congress created a Privacy and Civil Liberties Oversight Board within the Executive Office of the President. In 2007, Congress established the Privacy and Civil Liberties Oversight Board in its current form through the Implementing Recommendations of the 9/11 Commission Act as an independent </w:t>
      </w:r>
      <w:r w:rsidR="00340243" w:rsidRPr="000C50CC">
        <w:rPr>
          <w:rFonts w:ascii="Cambria" w:eastAsia="Times New Roman" w:hAnsi="Cambria"/>
          <w:sz w:val="24"/>
          <w:szCs w:val="24"/>
        </w:rPr>
        <w:t xml:space="preserve">agency </w:t>
      </w:r>
      <w:r w:rsidR="00340243">
        <w:rPr>
          <w:rFonts w:ascii="Cambria" w:eastAsia="Times New Roman" w:hAnsi="Cambria"/>
          <w:sz w:val="24"/>
          <w:szCs w:val="24"/>
        </w:rPr>
        <w:t xml:space="preserve">within the </w:t>
      </w:r>
      <w:r w:rsidRPr="000C50CC">
        <w:rPr>
          <w:rFonts w:ascii="Cambria" w:eastAsia="Times New Roman" w:hAnsi="Cambria"/>
          <w:sz w:val="24"/>
          <w:szCs w:val="24"/>
        </w:rPr>
        <w:t>executive branch</w:t>
      </w:r>
      <w:r>
        <w:rPr>
          <w:rFonts w:ascii="Cambria" w:hAnsi="Cambria"/>
          <w:sz w:val="24"/>
          <w:szCs w:val="24"/>
        </w:rPr>
        <w:t>.</w:t>
      </w:r>
      <w:bookmarkStart w:id="47" w:name="_Hlk148728580"/>
    </w:p>
    <w:bookmarkEnd w:id="47"/>
    <w:p w14:paraId="568A58BA" w14:textId="23E56689" w:rsidR="0018052B" w:rsidRPr="000C50CC" w:rsidRDefault="00340243" w:rsidP="007A6E0A">
      <w:pPr>
        <w:shd w:val="clear" w:color="auto" w:fill="FFFFFF"/>
        <w:spacing w:before="240" w:after="0" w:line="276" w:lineRule="auto"/>
        <w:jc w:val="both"/>
        <w:rPr>
          <w:rFonts w:ascii="Cambria" w:eastAsia="Times New Roman" w:hAnsi="Cambria"/>
          <w:sz w:val="24"/>
          <w:szCs w:val="24"/>
        </w:rPr>
      </w:pPr>
      <w:r>
        <w:rPr>
          <w:rFonts w:ascii="Cambria" w:eastAsia="Times New Roman" w:hAnsi="Cambria"/>
          <w:sz w:val="24"/>
          <w:szCs w:val="24"/>
        </w:rPr>
        <w:t>T</w:t>
      </w:r>
      <w:r w:rsidR="0018052B" w:rsidRPr="000C50CC">
        <w:rPr>
          <w:rFonts w:ascii="Cambria" w:eastAsia="Times New Roman" w:hAnsi="Cambria"/>
          <w:sz w:val="24"/>
          <w:szCs w:val="24"/>
        </w:rPr>
        <w:t xml:space="preserve">ransparency is an </w:t>
      </w:r>
      <w:r>
        <w:rPr>
          <w:rFonts w:ascii="Cambria" w:eastAsia="Times New Roman" w:hAnsi="Cambria"/>
          <w:sz w:val="24"/>
          <w:szCs w:val="24"/>
        </w:rPr>
        <w:t>integral</w:t>
      </w:r>
      <w:r w:rsidRPr="000C50CC">
        <w:rPr>
          <w:rFonts w:ascii="Cambria" w:eastAsia="Times New Roman" w:hAnsi="Cambria"/>
          <w:sz w:val="24"/>
          <w:szCs w:val="24"/>
        </w:rPr>
        <w:t xml:space="preserve"> </w:t>
      </w:r>
      <w:r w:rsidR="0018052B" w:rsidRPr="000C50CC">
        <w:rPr>
          <w:rFonts w:ascii="Cambria" w:eastAsia="Times New Roman" w:hAnsi="Cambria"/>
          <w:sz w:val="24"/>
          <w:szCs w:val="24"/>
        </w:rPr>
        <w:t xml:space="preserve">part of PCLOB’s mission. Specifically, </w:t>
      </w:r>
      <w:r w:rsidR="0018052B">
        <w:rPr>
          <w:rFonts w:ascii="Cambria" w:eastAsia="Times New Roman" w:hAnsi="Cambria"/>
          <w:sz w:val="24"/>
          <w:szCs w:val="24"/>
        </w:rPr>
        <w:t>PCLOB</w:t>
      </w:r>
      <w:r w:rsidR="0018052B" w:rsidRPr="000C50CC">
        <w:rPr>
          <w:rFonts w:ascii="Cambria" w:hAnsi="Cambria"/>
          <w:sz w:val="24"/>
          <w:szCs w:val="24"/>
        </w:rPr>
        <w:t xml:space="preserve"> </w:t>
      </w:r>
      <w:r w:rsidR="0018052B" w:rsidRPr="000C50CC">
        <w:rPr>
          <w:rFonts w:ascii="Cambria" w:eastAsia="Times New Roman" w:hAnsi="Cambria"/>
          <w:sz w:val="24"/>
          <w:szCs w:val="24"/>
        </w:rPr>
        <w:t>is required to inform the public about its work by holding public hearings, issuing public reports to the extent consistent with the protection of classified information and applicable law, providing semi-annual reports to Congress, and appearing and testifying before Congress upon request.</w:t>
      </w:r>
    </w:p>
    <w:p w14:paraId="147AAC18" w14:textId="4696EBCB" w:rsidR="0018052B" w:rsidRPr="000C50CC" w:rsidRDefault="0018052B" w:rsidP="007A6E0A">
      <w:pPr>
        <w:pStyle w:val="Cambriabold"/>
        <w:spacing w:line="276" w:lineRule="auto"/>
        <w:rPr>
          <w:b w:val="0"/>
          <w:bCs w:val="0"/>
        </w:rPr>
      </w:pPr>
      <w:r w:rsidRPr="000C50CC">
        <w:rPr>
          <w:b w:val="0"/>
          <w:bCs w:val="0"/>
        </w:rPr>
        <w:t>PCLOB</w:t>
      </w:r>
      <w:r w:rsidRPr="000C50CC">
        <w:rPr>
          <w:rFonts w:eastAsia="Times New Roman"/>
          <w:b w:val="0"/>
        </w:rPr>
        <w:t xml:space="preserve"> also has designated roles under </w:t>
      </w:r>
      <w:hyperlink r:id="rId31" w:history="1">
        <w:r w:rsidRPr="009676AE">
          <w:rPr>
            <w:rStyle w:val="Hyperlink"/>
            <w:rFonts w:eastAsia="Times New Roman"/>
            <w:b w:val="0"/>
          </w:rPr>
          <w:t>E</w:t>
        </w:r>
        <w:r w:rsidR="0032457C" w:rsidRPr="009676AE">
          <w:rPr>
            <w:rStyle w:val="Hyperlink"/>
            <w:rFonts w:eastAsia="Times New Roman"/>
            <w:b w:val="0"/>
          </w:rPr>
          <w:t>xecutive Order (E</w:t>
        </w:r>
        <w:r w:rsidRPr="009676AE">
          <w:rPr>
            <w:rStyle w:val="Hyperlink"/>
            <w:rFonts w:eastAsia="Times New Roman"/>
            <w:b w:val="0"/>
          </w:rPr>
          <w:t>O</w:t>
        </w:r>
        <w:r w:rsidR="0032457C" w:rsidRPr="009676AE">
          <w:rPr>
            <w:rStyle w:val="Hyperlink"/>
            <w:rFonts w:eastAsia="Times New Roman"/>
            <w:b w:val="0"/>
          </w:rPr>
          <w:t>)</w:t>
        </w:r>
        <w:r w:rsidRPr="009676AE">
          <w:rPr>
            <w:rStyle w:val="Hyperlink"/>
            <w:rFonts w:eastAsia="Times New Roman"/>
            <w:b w:val="0"/>
          </w:rPr>
          <w:t xml:space="preserve"> 13636, </w:t>
        </w:r>
        <w:r w:rsidRPr="009676AE">
          <w:rPr>
            <w:rStyle w:val="Hyperlink"/>
            <w:rFonts w:eastAsia="Times New Roman"/>
            <w:b w:val="0"/>
            <w:i/>
            <w:iCs/>
          </w:rPr>
          <w:t>Improving Critical Infrastructure Cybersecurity</w:t>
        </w:r>
      </w:hyperlink>
      <w:r w:rsidRPr="000C50CC">
        <w:rPr>
          <w:rFonts w:eastAsia="Times New Roman"/>
          <w:b w:val="0"/>
        </w:rPr>
        <w:t xml:space="preserve">, </w:t>
      </w:r>
      <w:hyperlink r:id="rId32" w:history="1">
        <w:r w:rsidR="009676AE" w:rsidRPr="009676AE">
          <w:rPr>
            <w:rStyle w:val="Hyperlink"/>
            <w:rFonts w:eastAsia="Times New Roman"/>
            <w:b w:val="0"/>
          </w:rPr>
          <w:t>Presidential Policy Directive 28</w:t>
        </w:r>
      </w:hyperlink>
      <w:r w:rsidR="009676AE">
        <w:rPr>
          <w:rFonts w:eastAsia="Times New Roman"/>
          <w:b w:val="0"/>
        </w:rPr>
        <w:t xml:space="preserve">, </w:t>
      </w:r>
      <w:hyperlink r:id="rId33" w:history="1">
        <w:r w:rsidR="002A31AF" w:rsidRPr="0016288B">
          <w:rPr>
            <w:rStyle w:val="Hyperlink"/>
            <w:rFonts w:eastAsia="Times New Roman"/>
            <w:b w:val="0"/>
            <w:bCs w:val="0"/>
          </w:rPr>
          <w:t xml:space="preserve">EO 14086, </w:t>
        </w:r>
        <w:r w:rsidR="0016288B" w:rsidRPr="0016288B">
          <w:rPr>
            <w:rStyle w:val="Hyperlink"/>
            <w:b w:val="0"/>
            <w:bCs w:val="0"/>
            <w:i/>
            <w:iCs/>
          </w:rPr>
          <w:t>Enhancing Safeguards for United States Signals Intelligence</w:t>
        </w:r>
        <w:r w:rsidR="0016288B" w:rsidRPr="0016288B">
          <w:rPr>
            <w:rStyle w:val="Hyperlink"/>
          </w:rPr>
          <w:t xml:space="preserve"> </w:t>
        </w:r>
        <w:r w:rsidR="0016288B" w:rsidRPr="0016288B">
          <w:rPr>
            <w:rStyle w:val="Hyperlink"/>
            <w:b w:val="0"/>
            <w:bCs w:val="0"/>
            <w:i/>
            <w:iCs/>
          </w:rPr>
          <w:t>Activities</w:t>
        </w:r>
      </w:hyperlink>
      <w:r w:rsidR="009676AE">
        <w:rPr>
          <w:rFonts w:eastAsia="Times New Roman"/>
          <w:b w:val="0"/>
          <w:i/>
          <w:iCs/>
        </w:rPr>
        <w:t xml:space="preserve">, </w:t>
      </w:r>
      <w:r w:rsidRPr="000C50CC">
        <w:rPr>
          <w:rFonts w:eastAsia="Times New Roman"/>
          <w:b w:val="0"/>
        </w:rPr>
        <w:t xml:space="preserve">and </w:t>
      </w:r>
      <w:hyperlink r:id="rId34" w:history="1">
        <w:r w:rsidRPr="00117763">
          <w:rPr>
            <w:rStyle w:val="Hyperlink"/>
            <w:rFonts w:eastAsia="Times New Roman"/>
            <w:b w:val="0"/>
          </w:rPr>
          <w:t>Section 803 of the Implementing Recommendations of the 9/11 Commission Act of 2007</w:t>
        </w:r>
      </w:hyperlink>
      <w:r w:rsidR="009676AE">
        <w:rPr>
          <w:rFonts w:eastAsia="Times New Roman"/>
          <w:b w:val="0"/>
        </w:rPr>
        <w:t>.</w:t>
      </w:r>
      <w:r w:rsidR="009676AE" w:rsidRPr="000C50CC" w:rsidDel="009676AE">
        <w:rPr>
          <w:rFonts w:eastAsia="Times New Roman"/>
          <w:b w:val="0"/>
        </w:rPr>
        <w:t xml:space="preserve"> </w:t>
      </w:r>
      <w:r w:rsidRPr="000C50CC">
        <w:rPr>
          <w:rFonts w:eastAsia="Times New Roman"/>
          <w:b w:val="0"/>
        </w:rPr>
        <w:t xml:space="preserve"> </w:t>
      </w:r>
    </w:p>
    <w:p w14:paraId="53F3FF14" w14:textId="3B2EA503" w:rsidR="0018052B" w:rsidRPr="00FB12D3" w:rsidRDefault="0018052B" w:rsidP="0019237F">
      <w:pPr>
        <w:keepNext/>
        <w:keepLines/>
        <w:pBdr>
          <w:bottom w:val="single" w:sz="12" w:space="3" w:color="auto"/>
        </w:pBdr>
        <w:spacing w:before="160" w:after="80" w:line="276" w:lineRule="auto"/>
        <w:outlineLvl w:val="2"/>
        <w:rPr>
          <w:rFonts w:ascii="Cambria" w:eastAsiaTheme="majorEastAsia" w:hAnsi="Cambria" w:cstheme="majorBidi"/>
          <w:b/>
          <w:bCs/>
          <w:smallCaps/>
          <w:color w:val="374C80" w:themeColor="accent1" w:themeShade="BF"/>
          <w:sz w:val="28"/>
          <w:szCs w:val="28"/>
        </w:rPr>
      </w:pPr>
      <w:bookmarkStart w:id="48" w:name="_Toc85212079"/>
      <w:bookmarkStart w:id="49" w:name="_Toc86327252"/>
      <w:bookmarkStart w:id="50" w:name="_Toc212119655"/>
      <w:bookmarkStart w:id="51" w:name="_Toc213421229"/>
      <w:r w:rsidRPr="00FB12D3">
        <w:rPr>
          <w:rFonts w:ascii="Cambria" w:eastAsiaTheme="majorEastAsia" w:hAnsi="Cambria" w:cstheme="majorBidi"/>
          <w:b/>
          <w:bCs/>
          <w:smallCaps/>
          <w:color w:val="374C80" w:themeColor="accent1" w:themeShade="BF"/>
          <w:sz w:val="28"/>
          <w:szCs w:val="28"/>
        </w:rPr>
        <w:t>Our Organization</w:t>
      </w:r>
      <w:bookmarkEnd w:id="48"/>
      <w:bookmarkEnd w:id="49"/>
      <w:bookmarkEnd w:id="50"/>
      <w:bookmarkEnd w:id="51"/>
    </w:p>
    <w:p w14:paraId="10BF6089" w14:textId="2801B152" w:rsidR="0018052B" w:rsidRPr="000C50CC" w:rsidRDefault="0018052B" w:rsidP="007A6E0A">
      <w:pPr>
        <w:shd w:val="clear" w:color="auto" w:fill="FFFFFF"/>
        <w:spacing w:after="0" w:line="276" w:lineRule="auto"/>
        <w:jc w:val="both"/>
        <w:rPr>
          <w:rFonts w:ascii="Cambria" w:hAnsi="Cambria"/>
          <w:sz w:val="24"/>
        </w:rPr>
      </w:pPr>
      <w:r w:rsidRPr="000C50CC">
        <w:rPr>
          <w:rFonts w:ascii="Cambria" w:eastAsia="Times New Roman" w:hAnsi="Cambria"/>
          <w:sz w:val="24"/>
          <w:szCs w:val="24"/>
        </w:rPr>
        <w:t>PCLOB</w:t>
      </w:r>
      <w:r w:rsidR="00224382">
        <w:rPr>
          <w:rFonts w:ascii="Cambria" w:eastAsia="Times New Roman" w:hAnsi="Cambria"/>
          <w:sz w:val="24"/>
          <w:szCs w:val="24"/>
        </w:rPr>
        <w:t xml:space="preserve"> i</w:t>
      </w:r>
      <w:r w:rsidRPr="000C50CC">
        <w:rPr>
          <w:rFonts w:ascii="Cambria" w:eastAsia="Times New Roman" w:hAnsi="Cambria"/>
          <w:sz w:val="24"/>
          <w:szCs w:val="24"/>
        </w:rPr>
        <w:t>s headquarter</w:t>
      </w:r>
      <w:r w:rsidR="00224382">
        <w:rPr>
          <w:rFonts w:ascii="Cambria" w:eastAsia="Times New Roman" w:hAnsi="Cambria"/>
          <w:sz w:val="24"/>
          <w:szCs w:val="24"/>
        </w:rPr>
        <w:t>ed</w:t>
      </w:r>
      <w:r w:rsidRPr="000C50CC">
        <w:rPr>
          <w:rFonts w:ascii="Cambria" w:eastAsia="Times New Roman" w:hAnsi="Cambria"/>
          <w:sz w:val="24"/>
          <w:szCs w:val="24"/>
        </w:rPr>
        <w:t xml:space="preserve"> in Washington, DC. </w:t>
      </w:r>
      <w:r w:rsidR="005A30E2">
        <w:rPr>
          <w:rFonts w:ascii="Cambria" w:eastAsia="Times New Roman" w:hAnsi="Cambria"/>
          <w:sz w:val="24"/>
          <w:szCs w:val="24"/>
        </w:rPr>
        <w:t xml:space="preserve">The Board comprises </w:t>
      </w:r>
      <w:r w:rsidR="00D423D3">
        <w:rPr>
          <w:rFonts w:ascii="Cambria" w:eastAsia="Times New Roman" w:hAnsi="Cambria"/>
          <w:sz w:val="24"/>
          <w:szCs w:val="24"/>
        </w:rPr>
        <w:t xml:space="preserve">a </w:t>
      </w:r>
      <w:r w:rsidRPr="000C50CC">
        <w:rPr>
          <w:rFonts w:ascii="Cambria" w:eastAsia="Times New Roman" w:hAnsi="Cambria"/>
          <w:sz w:val="24"/>
          <w:szCs w:val="24"/>
        </w:rPr>
        <w:t xml:space="preserve">bipartisan group of five Board Members: a full-time Chair and four part-time Members, each appointed by the President, with the advice and consent of the Senate, to staggered six-year terms. </w:t>
      </w:r>
      <w:r>
        <w:rPr>
          <w:rFonts w:ascii="Cambria" w:eastAsia="Times New Roman" w:hAnsi="Cambria"/>
          <w:sz w:val="24"/>
          <w:szCs w:val="24"/>
        </w:rPr>
        <w:t>PCLOB</w:t>
      </w:r>
      <w:r w:rsidRPr="00503515">
        <w:rPr>
          <w:rFonts w:ascii="Cambria" w:eastAsia="Times New Roman" w:hAnsi="Cambria"/>
          <w:sz w:val="24"/>
          <w:szCs w:val="24"/>
        </w:rPr>
        <w:t xml:space="preserve">’s statute requires that no more than three </w:t>
      </w:r>
      <w:r>
        <w:rPr>
          <w:rFonts w:ascii="Cambria" w:eastAsia="Times New Roman" w:hAnsi="Cambria"/>
          <w:sz w:val="24"/>
          <w:szCs w:val="24"/>
        </w:rPr>
        <w:t>M</w:t>
      </w:r>
      <w:r w:rsidRPr="00503515">
        <w:rPr>
          <w:rFonts w:ascii="Cambria" w:eastAsia="Times New Roman" w:hAnsi="Cambria"/>
          <w:sz w:val="24"/>
          <w:szCs w:val="24"/>
        </w:rPr>
        <w:t>embers of the Board come from the same political party.</w:t>
      </w:r>
      <w:r w:rsidR="00FB12D3">
        <w:rPr>
          <w:rFonts w:ascii="Cambria" w:eastAsia="Times New Roman" w:hAnsi="Cambria"/>
          <w:sz w:val="24"/>
          <w:szCs w:val="24"/>
        </w:rPr>
        <w:t xml:space="preserve"> </w:t>
      </w:r>
      <w:r>
        <w:rPr>
          <w:rFonts w:ascii="Cambria" w:eastAsia="Times New Roman" w:hAnsi="Cambria"/>
          <w:sz w:val="24"/>
          <w:szCs w:val="24"/>
        </w:rPr>
        <w:t xml:space="preserve">At the end of FY </w:t>
      </w:r>
      <w:r w:rsidR="0049075B">
        <w:rPr>
          <w:rFonts w:ascii="Cambria" w:eastAsia="Times New Roman" w:hAnsi="Cambria"/>
          <w:sz w:val="24"/>
          <w:szCs w:val="24"/>
        </w:rPr>
        <w:t>2025</w:t>
      </w:r>
      <w:r>
        <w:rPr>
          <w:rFonts w:ascii="Cambria" w:eastAsia="Times New Roman" w:hAnsi="Cambria"/>
          <w:sz w:val="24"/>
          <w:szCs w:val="24"/>
        </w:rPr>
        <w:t>,</w:t>
      </w:r>
      <w:r w:rsidRPr="000C50CC">
        <w:rPr>
          <w:rFonts w:ascii="Cambria" w:eastAsia="Times New Roman" w:hAnsi="Cambria"/>
          <w:sz w:val="24"/>
          <w:szCs w:val="24"/>
        </w:rPr>
        <w:t xml:space="preserve"> </w:t>
      </w:r>
      <w:r w:rsidR="005A30E2">
        <w:rPr>
          <w:rFonts w:ascii="Cambria" w:eastAsia="Times New Roman" w:hAnsi="Cambria"/>
          <w:sz w:val="24"/>
          <w:szCs w:val="24"/>
        </w:rPr>
        <w:t>with only one serving Member and four Member vacancies</w:t>
      </w:r>
      <w:r>
        <w:rPr>
          <w:rFonts w:ascii="Cambria" w:eastAsia="Times New Roman" w:hAnsi="Cambria"/>
          <w:sz w:val="24"/>
          <w:szCs w:val="24"/>
        </w:rPr>
        <w:t>,</w:t>
      </w:r>
      <w:r w:rsidRPr="000C50CC">
        <w:rPr>
          <w:rFonts w:ascii="Cambria" w:eastAsia="Times New Roman" w:hAnsi="Cambria"/>
          <w:sz w:val="24"/>
          <w:szCs w:val="24"/>
        </w:rPr>
        <w:t xml:space="preserve"> the Board</w:t>
      </w:r>
      <w:r w:rsidR="005A30E2">
        <w:rPr>
          <w:rFonts w:ascii="Cambria" w:eastAsia="Times New Roman" w:hAnsi="Cambria"/>
          <w:sz w:val="24"/>
          <w:szCs w:val="24"/>
        </w:rPr>
        <w:t xml:space="preserve"> lacked </w:t>
      </w:r>
      <w:r w:rsidR="005231BD">
        <w:rPr>
          <w:rFonts w:ascii="Cambria" w:eastAsia="Times New Roman" w:hAnsi="Cambria"/>
          <w:sz w:val="24"/>
          <w:szCs w:val="24"/>
        </w:rPr>
        <w:t>quorum</w:t>
      </w:r>
      <w:r w:rsidR="005A30E2">
        <w:rPr>
          <w:rFonts w:ascii="Cambria" w:eastAsia="Times New Roman" w:hAnsi="Cambria"/>
          <w:sz w:val="24"/>
          <w:szCs w:val="24"/>
        </w:rPr>
        <w:t xml:space="preserve"> (defined as three Members). </w:t>
      </w:r>
      <w:r w:rsidRPr="000C50CC">
        <w:rPr>
          <w:rFonts w:ascii="Cambria" w:hAnsi="Cambria"/>
          <w:sz w:val="24"/>
        </w:rPr>
        <w:t xml:space="preserve">For </w:t>
      </w:r>
      <w:r w:rsidR="005A30E2">
        <w:rPr>
          <w:rFonts w:ascii="Cambria" w:hAnsi="Cambria"/>
          <w:sz w:val="24"/>
        </w:rPr>
        <w:t>information</w:t>
      </w:r>
      <w:r w:rsidR="005A30E2" w:rsidRPr="000C50CC">
        <w:rPr>
          <w:rFonts w:ascii="Cambria" w:hAnsi="Cambria"/>
          <w:sz w:val="24"/>
        </w:rPr>
        <w:t xml:space="preserve"> </w:t>
      </w:r>
      <w:r w:rsidRPr="000C50CC">
        <w:rPr>
          <w:rFonts w:ascii="Cambria" w:hAnsi="Cambria"/>
          <w:sz w:val="24"/>
        </w:rPr>
        <w:t xml:space="preserve">about the </w:t>
      </w:r>
      <w:hyperlink r:id="rId35" w:history="1">
        <w:r w:rsidRPr="005231BD">
          <w:rPr>
            <w:rStyle w:val="Hyperlink"/>
            <w:rFonts w:ascii="Cambria" w:hAnsi="Cambria"/>
            <w:sz w:val="24"/>
          </w:rPr>
          <w:t xml:space="preserve">current </w:t>
        </w:r>
        <w:r w:rsidR="005A30E2">
          <w:rPr>
            <w:rStyle w:val="Hyperlink"/>
            <w:rFonts w:ascii="Cambria" w:hAnsi="Cambria"/>
            <w:sz w:val="24"/>
          </w:rPr>
          <w:t xml:space="preserve">and former </w:t>
        </w:r>
        <w:r w:rsidRPr="005231BD">
          <w:rPr>
            <w:rStyle w:val="Hyperlink"/>
            <w:rFonts w:ascii="Cambria" w:hAnsi="Cambria"/>
            <w:sz w:val="24"/>
          </w:rPr>
          <w:t>Board Members</w:t>
        </w:r>
      </w:hyperlink>
      <w:r w:rsidR="005231BD">
        <w:rPr>
          <w:rFonts w:ascii="Cambria" w:hAnsi="Cambria"/>
          <w:sz w:val="24"/>
        </w:rPr>
        <w:t xml:space="preserve"> and </w:t>
      </w:r>
      <w:hyperlink r:id="rId36" w:history="1">
        <w:r w:rsidR="005231BD" w:rsidRPr="00461981">
          <w:rPr>
            <w:rStyle w:val="Hyperlink"/>
            <w:rFonts w:ascii="Cambria" w:hAnsi="Cambria"/>
            <w:sz w:val="24"/>
          </w:rPr>
          <w:t xml:space="preserve">PCLOB’s </w:t>
        </w:r>
        <w:r w:rsidR="00461981" w:rsidRPr="00461981">
          <w:rPr>
            <w:rStyle w:val="Hyperlink"/>
            <w:rFonts w:ascii="Cambria" w:hAnsi="Cambria"/>
            <w:sz w:val="24"/>
          </w:rPr>
          <w:t>sub-quorum policy</w:t>
        </w:r>
      </w:hyperlink>
      <w:r w:rsidRPr="000C50CC">
        <w:rPr>
          <w:rFonts w:ascii="Cambria" w:hAnsi="Cambria"/>
          <w:sz w:val="24"/>
        </w:rPr>
        <w:t xml:space="preserve">, see </w:t>
      </w:r>
      <w:r w:rsidR="00D44F78" w:rsidRPr="00D44F78">
        <w:rPr>
          <w:rFonts w:ascii="Cambria" w:hAnsi="Cambria"/>
          <w:sz w:val="24"/>
          <w:szCs w:val="24"/>
        </w:rPr>
        <w:t>PCLOB’s website</w:t>
      </w:r>
      <w:r w:rsidR="005231BD" w:rsidRPr="0019237F">
        <w:rPr>
          <w:rFonts w:ascii="Cambria" w:hAnsi="Cambria"/>
          <w:sz w:val="24"/>
          <w:szCs w:val="24"/>
        </w:rPr>
        <w:t>.</w:t>
      </w:r>
    </w:p>
    <w:p w14:paraId="77A233CF" w14:textId="33B4C402" w:rsidR="0018052B" w:rsidRDefault="0018052B" w:rsidP="007A6E0A">
      <w:pPr>
        <w:shd w:val="clear" w:color="auto" w:fill="FFFFFF"/>
        <w:spacing w:before="240" w:line="276" w:lineRule="auto"/>
        <w:jc w:val="both"/>
        <w:rPr>
          <w:rFonts w:ascii="Cambria" w:eastAsia="Times New Roman" w:hAnsi="Cambria"/>
          <w:sz w:val="24"/>
          <w:szCs w:val="24"/>
        </w:rPr>
      </w:pPr>
      <w:r w:rsidRPr="000C50CC">
        <w:rPr>
          <w:rFonts w:ascii="Cambria" w:eastAsia="Times New Roman" w:hAnsi="Cambria"/>
          <w:sz w:val="24"/>
          <w:szCs w:val="24"/>
        </w:rPr>
        <w:t>In addition to the five Board Member</w:t>
      </w:r>
      <w:r w:rsidR="005A30E2">
        <w:rPr>
          <w:rFonts w:ascii="Cambria" w:eastAsia="Times New Roman" w:hAnsi="Cambria"/>
          <w:sz w:val="24"/>
          <w:szCs w:val="24"/>
        </w:rPr>
        <w:t>s</w:t>
      </w:r>
      <w:r w:rsidRPr="000C50CC">
        <w:rPr>
          <w:rFonts w:ascii="Cambria" w:eastAsia="Times New Roman" w:hAnsi="Cambria"/>
          <w:sz w:val="24"/>
          <w:szCs w:val="24"/>
        </w:rPr>
        <w:t xml:space="preserve">, </w:t>
      </w:r>
      <w:r w:rsidR="005A30E2">
        <w:rPr>
          <w:rFonts w:ascii="Cambria" w:eastAsia="Times New Roman" w:hAnsi="Cambria"/>
          <w:sz w:val="24"/>
          <w:szCs w:val="24"/>
        </w:rPr>
        <w:t xml:space="preserve">PCLOB comprises </w:t>
      </w:r>
      <w:r w:rsidRPr="000C50CC">
        <w:rPr>
          <w:rFonts w:ascii="Cambria" w:eastAsia="Times New Roman" w:hAnsi="Cambria"/>
          <w:sz w:val="24"/>
          <w:szCs w:val="24"/>
        </w:rPr>
        <w:t>mission and operations staff</w:t>
      </w:r>
      <w:r w:rsidR="003B274C">
        <w:rPr>
          <w:rFonts w:ascii="Cambria" w:eastAsia="Times New Roman" w:hAnsi="Cambria"/>
          <w:sz w:val="24"/>
          <w:szCs w:val="24"/>
        </w:rPr>
        <w:t xml:space="preserve">, totaling </w:t>
      </w:r>
      <w:r w:rsidR="00EF34CB">
        <w:rPr>
          <w:rFonts w:ascii="Cambria" w:eastAsia="Times New Roman" w:hAnsi="Cambria"/>
          <w:sz w:val="24"/>
          <w:szCs w:val="24"/>
        </w:rPr>
        <w:t xml:space="preserve">fewer </w:t>
      </w:r>
      <w:r w:rsidR="0084520F">
        <w:rPr>
          <w:rFonts w:ascii="Cambria" w:eastAsia="Times New Roman" w:hAnsi="Cambria"/>
          <w:sz w:val="24"/>
          <w:szCs w:val="24"/>
        </w:rPr>
        <w:t xml:space="preserve">than </w:t>
      </w:r>
      <w:r w:rsidR="00E25EEC">
        <w:rPr>
          <w:rFonts w:ascii="Cambria" w:eastAsia="Times New Roman" w:hAnsi="Cambria"/>
          <w:sz w:val="24"/>
          <w:szCs w:val="24"/>
        </w:rPr>
        <w:t>3</w:t>
      </w:r>
      <w:r w:rsidR="0084520F">
        <w:rPr>
          <w:rFonts w:ascii="Cambria" w:eastAsia="Times New Roman" w:hAnsi="Cambria"/>
          <w:sz w:val="24"/>
          <w:szCs w:val="24"/>
        </w:rPr>
        <w:t>0 full-time</w:t>
      </w:r>
      <w:r w:rsidR="003B274C">
        <w:rPr>
          <w:rFonts w:ascii="Cambria" w:eastAsia="Times New Roman" w:hAnsi="Cambria"/>
          <w:sz w:val="24"/>
          <w:szCs w:val="24"/>
        </w:rPr>
        <w:t xml:space="preserve"> employees</w:t>
      </w:r>
      <w:r w:rsidR="00E25EEC">
        <w:rPr>
          <w:rFonts w:ascii="Cambria" w:eastAsia="Times New Roman" w:hAnsi="Cambria"/>
          <w:sz w:val="24"/>
          <w:szCs w:val="24"/>
        </w:rPr>
        <w:t xml:space="preserve"> at the end of FY 2025</w:t>
      </w:r>
      <w:r w:rsidRPr="000C50CC">
        <w:rPr>
          <w:rFonts w:ascii="Cambria" w:eastAsia="Times New Roman" w:hAnsi="Cambria"/>
          <w:sz w:val="24"/>
          <w:szCs w:val="24"/>
        </w:rPr>
        <w:t>.</w:t>
      </w:r>
      <w:r w:rsidR="007C6DCC">
        <w:rPr>
          <w:rFonts w:ascii="Cambria" w:eastAsia="Times New Roman" w:hAnsi="Cambria"/>
          <w:sz w:val="24"/>
          <w:szCs w:val="24"/>
        </w:rPr>
        <w:t xml:space="preserve"> </w:t>
      </w:r>
    </w:p>
    <w:bookmarkEnd w:id="7"/>
    <w:p w14:paraId="64E3D740" w14:textId="77777777" w:rsidR="00A47B91" w:rsidRDefault="00A47B91">
      <w:pPr>
        <w:sectPr w:rsidR="00A47B91" w:rsidSect="00A47B91">
          <w:headerReference w:type="default" r:id="rId37"/>
          <w:pgSz w:w="12240" w:h="15840"/>
          <w:pgMar w:top="1871" w:right="1440" w:bottom="1080" w:left="1440" w:header="450" w:footer="720" w:gutter="0"/>
          <w:cols w:space="720"/>
          <w:docGrid w:linePitch="360"/>
        </w:sectPr>
      </w:pPr>
    </w:p>
    <w:p w14:paraId="6EC69329" w14:textId="1B80D4A0" w:rsidR="00916D95" w:rsidRPr="006D374D" w:rsidRDefault="00916D95" w:rsidP="00916D95">
      <w:pPr>
        <w:pStyle w:val="Heading2"/>
      </w:pPr>
      <w:bookmarkStart w:id="52" w:name="_Toc85212081"/>
      <w:bookmarkStart w:id="53" w:name="_Toc86327254"/>
      <w:bookmarkStart w:id="54" w:name="_Toc179295669"/>
      <w:bookmarkStart w:id="55" w:name="_Toc213421230"/>
      <w:bookmarkStart w:id="56" w:name="_Hlk44423693"/>
      <w:r w:rsidRPr="00BA5D27">
        <w:lastRenderedPageBreak/>
        <w:t xml:space="preserve">Financial </w:t>
      </w:r>
      <w:bookmarkEnd w:id="52"/>
      <w:bookmarkEnd w:id="53"/>
      <w:bookmarkEnd w:id="54"/>
      <w:r>
        <w:t>Position and Condition</w:t>
      </w:r>
      <w:bookmarkEnd w:id="55"/>
    </w:p>
    <w:bookmarkEnd w:id="56"/>
    <w:p w14:paraId="53088F05" w14:textId="5280EC34" w:rsidR="00916D95" w:rsidRDefault="000375EA" w:rsidP="00916D95">
      <w:pPr>
        <w:keepNext/>
        <w:keepLines/>
        <w:spacing w:before="240" w:after="0" w:line="276" w:lineRule="auto"/>
        <w:jc w:val="both"/>
        <w:rPr>
          <w:rFonts w:ascii="Cambria" w:hAnsi="Cambria"/>
          <w:bCs/>
          <w:sz w:val="24"/>
        </w:rPr>
      </w:pPr>
      <w:r>
        <w:rPr>
          <w:rFonts w:ascii="Cambria" w:eastAsia="Times New Roman" w:hAnsi="Cambria"/>
          <w:noProof/>
          <w:color w:val="000000"/>
          <w:sz w:val="24"/>
          <w:szCs w:val="24"/>
        </w:rPr>
        <w:drawing>
          <wp:anchor distT="0" distB="0" distL="114300" distR="114300" simplePos="0" relativeHeight="252214784" behindDoc="0" locked="0" layoutInCell="1" allowOverlap="1" wp14:anchorId="4FDF0850" wp14:editId="77697079">
            <wp:simplePos x="0" y="0"/>
            <wp:positionH relativeFrom="column">
              <wp:posOffset>2324735</wp:posOffset>
            </wp:positionH>
            <wp:positionV relativeFrom="page">
              <wp:posOffset>1715770</wp:posOffset>
            </wp:positionV>
            <wp:extent cx="3599815" cy="2398395"/>
            <wp:effectExtent l="57150" t="57150" r="95885" b="97155"/>
            <wp:wrapSquare wrapText="bothSides"/>
            <wp:docPr id="18636387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3876" name="Picture 64"/>
                    <pic:cNvPicPr/>
                  </pic:nvPicPr>
                  <pic:blipFill>
                    <a:blip r:embed="rId38"/>
                    <a:stretch>
                      <a:fillRect/>
                    </a:stretch>
                  </pic:blipFill>
                  <pic:spPr>
                    <a:xfrm>
                      <a:off x="0" y="0"/>
                      <a:ext cx="3599815" cy="239839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56656">
        <w:rPr>
          <w:rFonts w:ascii="Cambria" w:eastAsia="Calibri" w:hAnsi="Cambria" w:cs="Times New Roman"/>
          <w:b/>
          <w:bCs/>
          <w:smallCaps/>
          <w:noProof/>
          <w:color w:val="002060"/>
          <w:sz w:val="28"/>
          <w:szCs w:val="28"/>
        </w:rPr>
        <mc:AlternateContent>
          <mc:Choice Requires="wps">
            <w:drawing>
              <wp:anchor distT="0" distB="0" distL="114300" distR="114300" simplePos="0" relativeHeight="252215808" behindDoc="0" locked="0" layoutInCell="1" allowOverlap="1" wp14:anchorId="7C545AB0" wp14:editId="36F2574A">
                <wp:simplePos x="0" y="0"/>
                <wp:positionH relativeFrom="page">
                  <wp:posOffset>4303725</wp:posOffset>
                </wp:positionH>
                <wp:positionV relativeFrom="page">
                  <wp:posOffset>4109720</wp:posOffset>
                </wp:positionV>
                <wp:extent cx="2628900" cy="204470"/>
                <wp:effectExtent l="0" t="0" r="0" b="5080"/>
                <wp:wrapNone/>
                <wp:docPr id="1501234239" name="Text Box 77"/>
                <wp:cNvGraphicFramePr/>
                <a:graphic xmlns:a="http://schemas.openxmlformats.org/drawingml/2006/main">
                  <a:graphicData uri="http://schemas.microsoft.com/office/word/2010/wordprocessingShape">
                    <wps:wsp>
                      <wps:cNvSpPr txBox="1"/>
                      <wps:spPr>
                        <a:xfrm>
                          <a:off x="0" y="0"/>
                          <a:ext cx="2628900" cy="204470"/>
                        </a:xfrm>
                        <a:prstGeom prst="rect">
                          <a:avLst/>
                        </a:prstGeom>
                        <a:noFill/>
                        <a:ln w="6350">
                          <a:noFill/>
                        </a:ln>
                      </wps:spPr>
                      <wps:txbx>
                        <w:txbxContent>
                          <w:p w14:paraId="5BFD4001" w14:textId="76E613E7" w:rsidR="00556656" w:rsidRPr="00AD7A93" w:rsidRDefault="00556656" w:rsidP="00556656">
                            <w:pPr>
                              <w:jc w:val="right"/>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Andrea Izzotti</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45AB0" id="_x0000_s1033" type="#_x0000_t202" style="position:absolute;left:0;text-align:left;margin-left:338.9pt;margin-top:323.6pt;width:207pt;height:16.1pt;z-index:25221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" filled="f" stroked="f" strokeweight=".5pt">
                <v:textbox>
                  <w:txbxContent>
                    <w:p w14:paraId="5BFD4001" w14:textId="76E613E7" w:rsidR="00556656" w:rsidRPr="00AD7A93" w:rsidRDefault="00556656" w:rsidP="00556656">
                      <w:pPr>
                        <w:jc w:val="right"/>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Andrea Izzotti</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v:textbox>
                <w10:wrap anchorx="page" anchory="page"/>
              </v:shape>
            </w:pict>
          </mc:Fallback>
        </mc:AlternateContent>
      </w:r>
      <w:r w:rsidR="00916D95">
        <w:rPr>
          <w:rFonts w:ascii="Cambria" w:hAnsi="Cambria"/>
          <w:bCs/>
          <w:sz w:val="24"/>
        </w:rPr>
        <w:t xml:space="preserve">The financial summary and highlights that follow provide an overview of PCLOB’s 2025 financial statements. </w:t>
      </w:r>
      <w:r w:rsidR="00916D95" w:rsidRPr="00531720">
        <w:rPr>
          <w:rFonts w:ascii="Cambria" w:hAnsi="Cambria"/>
          <w:bCs/>
          <w:sz w:val="24"/>
        </w:rPr>
        <w:t xml:space="preserve">The independent auditor, </w:t>
      </w:r>
      <w:r w:rsidR="00916D95">
        <w:rPr>
          <w:rFonts w:ascii="Cambria" w:hAnsi="Cambria"/>
          <w:bCs/>
          <w:sz w:val="24"/>
        </w:rPr>
        <w:t>Castro</w:t>
      </w:r>
      <w:r w:rsidR="00916D95" w:rsidRPr="00531720">
        <w:rPr>
          <w:rFonts w:ascii="Cambria" w:hAnsi="Cambria"/>
          <w:bCs/>
          <w:sz w:val="24"/>
        </w:rPr>
        <w:t xml:space="preserve"> &amp; Company, audited the </w:t>
      </w:r>
      <w:r w:rsidR="00916D95">
        <w:rPr>
          <w:rFonts w:ascii="Cambria" w:hAnsi="Cambria"/>
          <w:bCs/>
          <w:sz w:val="24"/>
        </w:rPr>
        <w:t>agency’s</w:t>
      </w:r>
      <w:r w:rsidR="00916D95" w:rsidRPr="00531720">
        <w:rPr>
          <w:rFonts w:ascii="Cambria" w:hAnsi="Cambria"/>
          <w:bCs/>
          <w:sz w:val="24"/>
        </w:rPr>
        <w:t xml:space="preserve"> Balance Sheet</w:t>
      </w:r>
      <w:r w:rsidR="003F3601">
        <w:rPr>
          <w:rFonts w:ascii="Cambria" w:hAnsi="Cambria"/>
          <w:bCs/>
          <w:sz w:val="24"/>
        </w:rPr>
        <w:t xml:space="preserve"> as of</w:t>
      </w:r>
      <w:r w:rsidR="00916D95" w:rsidRPr="00531720">
        <w:rPr>
          <w:rFonts w:ascii="Cambria" w:hAnsi="Cambria"/>
          <w:bCs/>
          <w:sz w:val="24"/>
        </w:rPr>
        <w:t xml:space="preserve"> September 30, </w:t>
      </w:r>
      <w:r w:rsidR="00916D95">
        <w:rPr>
          <w:rFonts w:ascii="Cambria" w:hAnsi="Cambria"/>
          <w:bCs/>
          <w:sz w:val="24"/>
        </w:rPr>
        <w:t>2025</w:t>
      </w:r>
      <w:r w:rsidR="00916D95" w:rsidRPr="00531720">
        <w:rPr>
          <w:rFonts w:ascii="Cambria" w:hAnsi="Cambria"/>
          <w:bCs/>
          <w:sz w:val="24"/>
        </w:rPr>
        <w:t>, along with the Statement</w:t>
      </w:r>
      <w:r w:rsidR="00DD243C">
        <w:rPr>
          <w:rFonts w:ascii="Cambria" w:hAnsi="Cambria"/>
          <w:bCs/>
          <w:sz w:val="24"/>
        </w:rPr>
        <w:t>s</w:t>
      </w:r>
      <w:r w:rsidR="00916D95" w:rsidRPr="00531720">
        <w:rPr>
          <w:rFonts w:ascii="Cambria" w:hAnsi="Cambria"/>
          <w:bCs/>
          <w:sz w:val="24"/>
        </w:rPr>
        <w:t xml:space="preserve"> of Net Cost</w:t>
      </w:r>
      <w:r w:rsidR="00916D95">
        <w:rPr>
          <w:rFonts w:ascii="Cambria" w:hAnsi="Cambria"/>
          <w:bCs/>
          <w:sz w:val="24"/>
        </w:rPr>
        <w:t>,</w:t>
      </w:r>
      <w:r w:rsidR="00916D95" w:rsidRPr="00531720">
        <w:rPr>
          <w:rFonts w:ascii="Cambria" w:hAnsi="Cambria"/>
          <w:bCs/>
          <w:sz w:val="24"/>
        </w:rPr>
        <w:t xml:space="preserve"> Changes</w:t>
      </w:r>
      <w:r w:rsidR="00916D95">
        <w:rPr>
          <w:rFonts w:ascii="Cambria" w:hAnsi="Cambria"/>
          <w:bCs/>
          <w:sz w:val="24"/>
        </w:rPr>
        <w:t xml:space="preserve"> </w:t>
      </w:r>
      <w:r w:rsidR="00916D95" w:rsidRPr="00531720">
        <w:rPr>
          <w:rFonts w:ascii="Cambria" w:hAnsi="Cambria"/>
          <w:bCs/>
          <w:sz w:val="24"/>
        </w:rPr>
        <w:t>in Net Position, and Budgetary Resources</w:t>
      </w:r>
      <w:r w:rsidR="003F3601">
        <w:rPr>
          <w:rFonts w:ascii="Cambria" w:hAnsi="Cambria"/>
          <w:bCs/>
          <w:sz w:val="24"/>
        </w:rPr>
        <w:t xml:space="preserve"> </w:t>
      </w:r>
      <w:r w:rsidR="003F3601" w:rsidRPr="00531720">
        <w:rPr>
          <w:rFonts w:ascii="Cambria" w:hAnsi="Cambria"/>
          <w:bCs/>
          <w:sz w:val="24"/>
        </w:rPr>
        <w:t>for</w:t>
      </w:r>
      <w:r w:rsidR="003F3601">
        <w:rPr>
          <w:rFonts w:ascii="Cambria" w:hAnsi="Cambria"/>
          <w:bCs/>
          <w:sz w:val="24"/>
        </w:rPr>
        <w:t xml:space="preserve"> </w:t>
      </w:r>
      <w:r w:rsidR="003F3601" w:rsidRPr="00531720">
        <w:rPr>
          <w:rFonts w:ascii="Cambria" w:hAnsi="Cambria"/>
          <w:bCs/>
          <w:sz w:val="24"/>
        </w:rPr>
        <w:t>the fiscal year end</w:t>
      </w:r>
      <w:r w:rsidR="003F3601">
        <w:rPr>
          <w:rFonts w:ascii="Cambria" w:hAnsi="Cambria"/>
          <w:bCs/>
          <w:sz w:val="24"/>
        </w:rPr>
        <w:t>ed</w:t>
      </w:r>
      <w:r w:rsidR="003F3601" w:rsidRPr="00531720">
        <w:rPr>
          <w:rFonts w:ascii="Cambria" w:hAnsi="Cambria"/>
          <w:bCs/>
          <w:sz w:val="24"/>
        </w:rPr>
        <w:t xml:space="preserve"> September 30, </w:t>
      </w:r>
      <w:r w:rsidR="003F3601">
        <w:rPr>
          <w:rFonts w:ascii="Cambria" w:hAnsi="Cambria"/>
          <w:bCs/>
          <w:sz w:val="24"/>
        </w:rPr>
        <w:t>2025</w:t>
      </w:r>
      <w:r w:rsidR="00916D95" w:rsidRPr="00531720">
        <w:rPr>
          <w:rFonts w:ascii="Cambria" w:hAnsi="Cambria"/>
          <w:bCs/>
          <w:sz w:val="24"/>
        </w:rPr>
        <w:t>.</w:t>
      </w:r>
      <w:r w:rsidR="00916D95">
        <w:rPr>
          <w:rFonts w:ascii="Cambria" w:hAnsi="Cambria"/>
          <w:bCs/>
          <w:sz w:val="24"/>
        </w:rPr>
        <w:t xml:space="preserve"> PCLOB</w:t>
      </w:r>
      <w:r w:rsidR="00916D95" w:rsidRPr="00531720">
        <w:rPr>
          <w:rFonts w:ascii="Cambria" w:hAnsi="Cambria"/>
          <w:bCs/>
          <w:sz w:val="24"/>
        </w:rPr>
        <w:t xml:space="preserve"> received an unmodified audit opinion on its </w:t>
      </w:r>
      <w:r w:rsidR="003F3601">
        <w:rPr>
          <w:rFonts w:ascii="Cambria" w:hAnsi="Cambria"/>
          <w:bCs/>
          <w:sz w:val="24"/>
        </w:rPr>
        <w:t xml:space="preserve">FY </w:t>
      </w:r>
      <w:r w:rsidR="00916D95">
        <w:rPr>
          <w:rFonts w:ascii="Cambria" w:hAnsi="Cambria"/>
          <w:bCs/>
          <w:sz w:val="24"/>
        </w:rPr>
        <w:t>2025</w:t>
      </w:r>
      <w:r w:rsidR="00916D95" w:rsidRPr="00531720">
        <w:rPr>
          <w:rFonts w:ascii="Cambria" w:hAnsi="Cambria"/>
          <w:bCs/>
          <w:sz w:val="24"/>
        </w:rPr>
        <w:t xml:space="preserve"> financial statements. </w:t>
      </w:r>
      <w:r w:rsidR="00A953E5">
        <w:rPr>
          <w:rFonts w:ascii="Cambria" w:hAnsi="Cambria"/>
          <w:bCs/>
          <w:sz w:val="24"/>
        </w:rPr>
        <w:t>S</w:t>
      </w:r>
      <w:r w:rsidR="00916D95" w:rsidRPr="00531720">
        <w:rPr>
          <w:rFonts w:ascii="Cambria" w:hAnsi="Cambria"/>
          <w:bCs/>
          <w:sz w:val="24"/>
        </w:rPr>
        <w:t>ummary table</w:t>
      </w:r>
      <w:r w:rsidR="00A953E5">
        <w:rPr>
          <w:rFonts w:ascii="Cambria" w:hAnsi="Cambria"/>
          <w:bCs/>
          <w:sz w:val="24"/>
        </w:rPr>
        <w:t>s</w:t>
      </w:r>
      <w:r w:rsidR="00916D95" w:rsidRPr="00531720">
        <w:rPr>
          <w:rFonts w:ascii="Cambria" w:hAnsi="Cambria"/>
          <w:bCs/>
          <w:sz w:val="24"/>
        </w:rPr>
        <w:t xml:space="preserve"> of key financial measures from the Balance Sheet and</w:t>
      </w:r>
      <w:r w:rsidR="00916D95">
        <w:rPr>
          <w:rFonts w:ascii="Cambria" w:hAnsi="Cambria"/>
          <w:bCs/>
          <w:sz w:val="24"/>
        </w:rPr>
        <w:t xml:space="preserve"> </w:t>
      </w:r>
      <w:r w:rsidR="00916D95" w:rsidRPr="00531720">
        <w:rPr>
          <w:rFonts w:ascii="Cambria" w:hAnsi="Cambria"/>
          <w:bCs/>
          <w:sz w:val="24"/>
        </w:rPr>
        <w:t>Statement</w:t>
      </w:r>
      <w:r w:rsidR="007A6E0A">
        <w:rPr>
          <w:rFonts w:ascii="Cambria" w:hAnsi="Cambria"/>
          <w:bCs/>
          <w:sz w:val="24"/>
        </w:rPr>
        <w:t>s</w:t>
      </w:r>
      <w:r w:rsidR="00916D95" w:rsidRPr="00531720">
        <w:rPr>
          <w:rFonts w:ascii="Cambria" w:hAnsi="Cambria"/>
          <w:bCs/>
          <w:sz w:val="24"/>
        </w:rPr>
        <w:t xml:space="preserve"> of Net Cost</w:t>
      </w:r>
      <w:r w:rsidR="007A6E0A">
        <w:rPr>
          <w:rFonts w:ascii="Cambria" w:hAnsi="Cambria"/>
          <w:bCs/>
          <w:sz w:val="24"/>
        </w:rPr>
        <w:t>, Changes in Net Position,</w:t>
      </w:r>
      <w:r w:rsidR="00916D95" w:rsidRPr="00531720">
        <w:rPr>
          <w:rFonts w:ascii="Cambria" w:hAnsi="Cambria"/>
          <w:bCs/>
          <w:sz w:val="24"/>
        </w:rPr>
        <w:t xml:space="preserve"> and Budgetary Resources </w:t>
      </w:r>
      <w:r w:rsidR="00A953E5">
        <w:rPr>
          <w:rFonts w:ascii="Cambria" w:hAnsi="Cambria"/>
          <w:bCs/>
          <w:sz w:val="24"/>
        </w:rPr>
        <w:t>are</w:t>
      </w:r>
      <w:r w:rsidR="00A953E5" w:rsidRPr="00531720">
        <w:rPr>
          <w:rFonts w:ascii="Cambria" w:hAnsi="Cambria"/>
          <w:bCs/>
          <w:sz w:val="24"/>
        </w:rPr>
        <w:t xml:space="preserve"> </w:t>
      </w:r>
      <w:r w:rsidR="00916D95" w:rsidRPr="00531720">
        <w:rPr>
          <w:rFonts w:ascii="Cambria" w:hAnsi="Cambria"/>
          <w:bCs/>
          <w:sz w:val="24"/>
        </w:rPr>
        <w:t>provided. The complete financial statements, the independent</w:t>
      </w:r>
      <w:r w:rsidR="00916D95">
        <w:rPr>
          <w:rFonts w:ascii="Cambria" w:hAnsi="Cambria"/>
          <w:bCs/>
          <w:sz w:val="24"/>
        </w:rPr>
        <w:t xml:space="preserve"> </w:t>
      </w:r>
      <w:r w:rsidR="00916D95" w:rsidRPr="00531720">
        <w:rPr>
          <w:rFonts w:ascii="Cambria" w:hAnsi="Cambria"/>
          <w:bCs/>
          <w:sz w:val="24"/>
        </w:rPr>
        <w:t xml:space="preserve">auditor’s report, accompanying footnote disclosures, and required supplementary information are presented in </w:t>
      </w:r>
      <w:r w:rsidR="00916D95">
        <w:rPr>
          <w:rFonts w:ascii="Cambria" w:hAnsi="Cambria"/>
          <w:bCs/>
          <w:sz w:val="24"/>
        </w:rPr>
        <w:t>the</w:t>
      </w:r>
      <w:r w:rsidR="00916D95" w:rsidRPr="00531720">
        <w:rPr>
          <w:rFonts w:ascii="Cambria" w:hAnsi="Cambria"/>
          <w:bCs/>
          <w:sz w:val="24"/>
        </w:rPr>
        <w:t xml:space="preserve"> Financial </w:t>
      </w:r>
      <w:r w:rsidR="003347EF">
        <w:rPr>
          <w:rFonts w:ascii="Cambria" w:hAnsi="Cambria"/>
          <w:bCs/>
          <w:sz w:val="24"/>
        </w:rPr>
        <w:t>S</w:t>
      </w:r>
      <w:r w:rsidR="00916D95">
        <w:rPr>
          <w:rFonts w:ascii="Cambria" w:hAnsi="Cambria"/>
          <w:bCs/>
          <w:sz w:val="24"/>
        </w:rPr>
        <w:t>ection of this report.</w:t>
      </w:r>
    </w:p>
    <w:p w14:paraId="0A6387DD" w14:textId="34FAD295" w:rsidR="00916D95" w:rsidRPr="004E7D6E" w:rsidRDefault="00916D95" w:rsidP="00916D95">
      <w:pPr>
        <w:spacing w:before="240" w:line="276" w:lineRule="auto"/>
        <w:jc w:val="both"/>
        <w:rPr>
          <w:rFonts w:ascii="Cambria" w:hAnsi="Cambria"/>
          <w:bCs/>
          <w:sz w:val="24"/>
        </w:rPr>
      </w:pPr>
      <w:r>
        <w:rPr>
          <w:rFonts w:ascii="Cambria" w:hAnsi="Cambria"/>
          <w:bCs/>
          <w:sz w:val="24"/>
        </w:rPr>
        <w:t>PCLOB</w:t>
      </w:r>
      <w:r w:rsidRPr="004E7D6E">
        <w:rPr>
          <w:rFonts w:ascii="Cambria" w:hAnsi="Cambria"/>
          <w:bCs/>
          <w:sz w:val="24"/>
        </w:rPr>
        <w:t xml:space="preserve"> prepared its financial statements from its </w:t>
      </w:r>
      <w:r>
        <w:rPr>
          <w:rFonts w:ascii="Cambria" w:hAnsi="Cambria"/>
          <w:bCs/>
          <w:sz w:val="24"/>
        </w:rPr>
        <w:t>accounting</w:t>
      </w:r>
      <w:r w:rsidRPr="004E7D6E">
        <w:rPr>
          <w:rFonts w:ascii="Cambria" w:hAnsi="Cambria"/>
          <w:bCs/>
          <w:sz w:val="24"/>
        </w:rPr>
        <w:t xml:space="preserve"> records in conformity with </w:t>
      </w:r>
      <w:r>
        <w:rPr>
          <w:rFonts w:ascii="Cambria" w:hAnsi="Cambria"/>
          <w:bCs/>
          <w:sz w:val="24"/>
        </w:rPr>
        <w:t>GAAP</w:t>
      </w:r>
      <w:r w:rsidR="0064100C">
        <w:rPr>
          <w:rFonts w:ascii="Cambria" w:hAnsi="Cambria"/>
          <w:bCs/>
          <w:sz w:val="24"/>
        </w:rPr>
        <w:t>,</w:t>
      </w:r>
      <w:r w:rsidRPr="004E7D6E">
        <w:rPr>
          <w:rFonts w:ascii="Cambria" w:hAnsi="Cambria"/>
          <w:bCs/>
          <w:sz w:val="24"/>
        </w:rPr>
        <w:t xml:space="preserve"> which for </w:t>
      </w:r>
      <w:r>
        <w:rPr>
          <w:rFonts w:ascii="Cambria" w:hAnsi="Cambria"/>
          <w:bCs/>
          <w:sz w:val="24"/>
        </w:rPr>
        <w:t>f</w:t>
      </w:r>
      <w:r w:rsidRPr="004E7D6E">
        <w:rPr>
          <w:rFonts w:ascii="Cambria" w:hAnsi="Cambria"/>
          <w:bCs/>
          <w:sz w:val="24"/>
        </w:rPr>
        <w:t xml:space="preserve">ederal </w:t>
      </w:r>
      <w:proofErr w:type="gramStart"/>
      <w:r w:rsidRPr="004E7D6E">
        <w:rPr>
          <w:rFonts w:ascii="Cambria" w:hAnsi="Cambria"/>
          <w:bCs/>
          <w:sz w:val="24"/>
        </w:rPr>
        <w:t>entities,</w:t>
      </w:r>
      <w:proofErr w:type="gramEnd"/>
      <w:r w:rsidRPr="004E7D6E">
        <w:rPr>
          <w:rFonts w:ascii="Cambria" w:hAnsi="Cambria"/>
          <w:bCs/>
          <w:sz w:val="24"/>
        </w:rPr>
        <w:t xml:space="preserve"> are the standards </w:t>
      </w:r>
      <w:r>
        <w:rPr>
          <w:rFonts w:ascii="Cambria" w:hAnsi="Cambria"/>
          <w:bCs/>
          <w:sz w:val="24"/>
        </w:rPr>
        <w:t>issued</w:t>
      </w:r>
      <w:r w:rsidRPr="004E7D6E">
        <w:rPr>
          <w:rFonts w:ascii="Cambria" w:hAnsi="Cambria"/>
          <w:bCs/>
          <w:sz w:val="24"/>
        </w:rPr>
        <w:t xml:space="preserve"> by </w:t>
      </w:r>
      <w:r w:rsidRPr="00826334">
        <w:rPr>
          <w:rFonts w:ascii="Cambria" w:hAnsi="Cambria"/>
          <w:bCs/>
          <w:sz w:val="24"/>
        </w:rPr>
        <w:t>the Federal Accounting Standards Advisory Board</w:t>
      </w:r>
      <w:r>
        <w:rPr>
          <w:rFonts w:ascii="Cambria" w:hAnsi="Cambria"/>
          <w:bCs/>
          <w:sz w:val="24"/>
        </w:rPr>
        <w:t xml:space="preserve">. </w:t>
      </w:r>
      <w:r w:rsidRPr="003C29AA">
        <w:rPr>
          <w:rFonts w:ascii="Cambria" w:hAnsi="Cambria"/>
          <w:bCs/>
          <w:sz w:val="24"/>
        </w:rPr>
        <w:t xml:space="preserve">The </w:t>
      </w:r>
      <w:r>
        <w:rPr>
          <w:rFonts w:ascii="Cambria" w:hAnsi="Cambria"/>
          <w:bCs/>
          <w:sz w:val="24"/>
        </w:rPr>
        <w:t>a</w:t>
      </w:r>
      <w:r w:rsidRPr="003C29AA">
        <w:rPr>
          <w:rFonts w:ascii="Cambria" w:hAnsi="Cambria"/>
          <w:bCs/>
          <w:sz w:val="24"/>
        </w:rPr>
        <w:t>gency’s management</w:t>
      </w:r>
      <w:r>
        <w:rPr>
          <w:rFonts w:ascii="Cambria" w:hAnsi="Cambria"/>
          <w:bCs/>
          <w:sz w:val="24"/>
        </w:rPr>
        <w:t xml:space="preserve"> </w:t>
      </w:r>
      <w:r w:rsidRPr="003C29AA">
        <w:rPr>
          <w:rFonts w:ascii="Cambria" w:hAnsi="Cambria"/>
          <w:bCs/>
          <w:sz w:val="24"/>
        </w:rPr>
        <w:t>is responsible for the integrity and objectivity of the</w:t>
      </w:r>
      <w:r>
        <w:rPr>
          <w:rFonts w:ascii="Cambria" w:hAnsi="Cambria"/>
          <w:bCs/>
          <w:sz w:val="24"/>
        </w:rPr>
        <w:t xml:space="preserve"> </w:t>
      </w:r>
      <w:r w:rsidRPr="003C29AA">
        <w:rPr>
          <w:rFonts w:ascii="Cambria" w:hAnsi="Cambria"/>
          <w:bCs/>
          <w:sz w:val="24"/>
        </w:rPr>
        <w:t>financial information presented in the statements.</w:t>
      </w:r>
      <w:r>
        <w:rPr>
          <w:rFonts w:ascii="Cambria" w:hAnsi="Cambria"/>
          <w:bCs/>
          <w:sz w:val="24"/>
        </w:rPr>
        <w:t xml:space="preserve"> </w:t>
      </w:r>
    </w:p>
    <w:p w14:paraId="275FE2FB" w14:textId="2F15F71A" w:rsidR="00916D95" w:rsidRPr="004E7D6E" w:rsidRDefault="00916D95" w:rsidP="00B0403B">
      <w:pPr>
        <w:spacing w:before="240" w:line="276" w:lineRule="auto"/>
        <w:jc w:val="both"/>
        <w:rPr>
          <w:rFonts w:ascii="Cambria" w:hAnsi="Cambria"/>
          <w:bCs/>
          <w:sz w:val="24"/>
        </w:rPr>
      </w:pPr>
      <w:r>
        <w:rPr>
          <w:rFonts w:ascii="Cambria" w:hAnsi="Cambria"/>
          <w:bCs/>
          <w:sz w:val="24"/>
        </w:rPr>
        <w:t>T</w:t>
      </w:r>
      <w:r w:rsidRPr="004E7D6E">
        <w:rPr>
          <w:rFonts w:ascii="Cambria" w:hAnsi="Cambria"/>
          <w:bCs/>
          <w:sz w:val="24"/>
        </w:rPr>
        <w:t>his</w:t>
      </w:r>
      <w:r>
        <w:rPr>
          <w:rFonts w:ascii="Cambria" w:hAnsi="Cambria"/>
          <w:bCs/>
          <w:sz w:val="24"/>
        </w:rPr>
        <w:t xml:space="preserve"> </w:t>
      </w:r>
      <w:r w:rsidRPr="004E7D6E">
        <w:rPr>
          <w:rFonts w:ascii="Cambria" w:hAnsi="Cambria"/>
          <w:bCs/>
          <w:sz w:val="24"/>
        </w:rPr>
        <w:t>section</w:t>
      </w:r>
      <w:r>
        <w:rPr>
          <w:rFonts w:ascii="Cambria" w:hAnsi="Cambria"/>
          <w:bCs/>
          <w:sz w:val="24"/>
        </w:rPr>
        <w:t xml:space="preserve"> provide</w:t>
      </w:r>
      <w:r w:rsidR="003347EF">
        <w:rPr>
          <w:rFonts w:ascii="Cambria" w:hAnsi="Cambria"/>
          <w:bCs/>
          <w:sz w:val="24"/>
        </w:rPr>
        <w:t>s</w:t>
      </w:r>
      <w:r>
        <w:rPr>
          <w:rFonts w:ascii="Cambria" w:hAnsi="Cambria"/>
          <w:bCs/>
          <w:sz w:val="24"/>
        </w:rPr>
        <w:t xml:space="preserve"> an </w:t>
      </w:r>
      <w:r w:rsidR="003347EF">
        <w:rPr>
          <w:rFonts w:ascii="Cambria" w:hAnsi="Cambria"/>
          <w:bCs/>
          <w:sz w:val="24"/>
        </w:rPr>
        <w:t xml:space="preserve">overview </w:t>
      </w:r>
      <w:r>
        <w:rPr>
          <w:rFonts w:ascii="Cambria" w:hAnsi="Cambria"/>
          <w:bCs/>
          <w:sz w:val="24"/>
        </w:rPr>
        <w:t xml:space="preserve">of </w:t>
      </w:r>
      <w:r w:rsidR="003347EF">
        <w:rPr>
          <w:rFonts w:ascii="Cambria" w:hAnsi="Cambria"/>
          <w:bCs/>
          <w:sz w:val="24"/>
        </w:rPr>
        <w:t>the causes</w:t>
      </w:r>
      <w:r w:rsidRPr="004E7D6E">
        <w:rPr>
          <w:rFonts w:ascii="Cambria" w:hAnsi="Cambria"/>
          <w:bCs/>
          <w:sz w:val="24"/>
        </w:rPr>
        <w:t xml:space="preserve"> </w:t>
      </w:r>
      <w:r>
        <w:rPr>
          <w:rFonts w:ascii="Cambria" w:hAnsi="Cambria"/>
          <w:bCs/>
          <w:sz w:val="24"/>
        </w:rPr>
        <w:t xml:space="preserve">of significant </w:t>
      </w:r>
      <w:r w:rsidR="00B0403B">
        <w:rPr>
          <w:rFonts w:ascii="Cambria" w:hAnsi="Cambria"/>
          <w:bCs/>
          <w:sz w:val="24"/>
        </w:rPr>
        <w:t xml:space="preserve">changes and trends in financial position as explained by the composition or balances of assets, liabilities, net position, costs, budgetary resources, and financing sources </w:t>
      </w:r>
      <w:r>
        <w:rPr>
          <w:rFonts w:ascii="Cambria" w:hAnsi="Cambria"/>
          <w:bCs/>
          <w:sz w:val="24"/>
        </w:rPr>
        <w:t>that appear on PCLOB’s financial statements</w:t>
      </w:r>
      <w:r w:rsidR="00B0403B">
        <w:rPr>
          <w:rFonts w:ascii="Cambria" w:hAnsi="Cambria"/>
          <w:bCs/>
          <w:sz w:val="24"/>
        </w:rPr>
        <w:t xml:space="preserve">, </w:t>
      </w:r>
      <w:r w:rsidRPr="004E7D6E">
        <w:rPr>
          <w:rFonts w:ascii="Cambria" w:hAnsi="Cambria"/>
          <w:bCs/>
          <w:sz w:val="24"/>
        </w:rPr>
        <w:t xml:space="preserve">organized as follows: </w:t>
      </w:r>
    </w:p>
    <w:p w14:paraId="24938BC8" w14:textId="58F2F0B2" w:rsidR="00916D95" w:rsidRPr="004E7D6E" w:rsidRDefault="00916D95" w:rsidP="00916D95">
      <w:pPr>
        <w:numPr>
          <w:ilvl w:val="0"/>
          <w:numId w:val="21"/>
        </w:numPr>
        <w:spacing w:before="120" w:after="120" w:line="276" w:lineRule="auto"/>
        <w:ind w:left="360"/>
        <w:rPr>
          <w:rFonts w:ascii="Cambria" w:hAnsi="Cambria"/>
          <w:bCs/>
          <w:sz w:val="24"/>
        </w:rPr>
      </w:pPr>
      <w:r w:rsidRPr="004E7D6E">
        <w:rPr>
          <w:rFonts w:ascii="Cambria" w:hAnsi="Cambria"/>
          <w:bCs/>
          <w:sz w:val="24"/>
        </w:rPr>
        <w:t xml:space="preserve">Balance Sheet: Overview of Financial </w:t>
      </w:r>
      <w:proofErr w:type="gramStart"/>
      <w:r w:rsidRPr="004E7D6E">
        <w:rPr>
          <w:rFonts w:ascii="Cambria" w:hAnsi="Cambria"/>
          <w:bCs/>
          <w:sz w:val="24"/>
        </w:rPr>
        <w:t>Position</w:t>
      </w:r>
      <w:r w:rsidRPr="00482EF4">
        <w:rPr>
          <w:rFonts w:ascii="Cambria" w:hAnsi="Cambria"/>
          <w:bCs/>
          <w:sz w:val="24"/>
        </w:rPr>
        <w:t>;</w:t>
      </w:r>
      <w:proofErr w:type="gramEnd"/>
    </w:p>
    <w:p w14:paraId="4B662DE7" w14:textId="3F87CD16" w:rsidR="00916D95" w:rsidRPr="004E7D6E" w:rsidRDefault="00916D95" w:rsidP="00916D95">
      <w:pPr>
        <w:numPr>
          <w:ilvl w:val="0"/>
          <w:numId w:val="21"/>
        </w:numPr>
        <w:spacing w:before="120" w:after="120" w:line="276" w:lineRule="auto"/>
        <w:ind w:left="360"/>
        <w:rPr>
          <w:rFonts w:ascii="Cambria" w:hAnsi="Cambria"/>
          <w:bCs/>
          <w:sz w:val="24"/>
        </w:rPr>
      </w:pPr>
      <w:r w:rsidRPr="004E7D6E">
        <w:rPr>
          <w:rFonts w:ascii="Cambria" w:hAnsi="Cambria"/>
          <w:bCs/>
          <w:sz w:val="24"/>
        </w:rPr>
        <w:t xml:space="preserve">Statement </w:t>
      </w:r>
      <w:proofErr w:type="gramStart"/>
      <w:r w:rsidRPr="004E7D6E">
        <w:rPr>
          <w:rFonts w:ascii="Cambria" w:hAnsi="Cambria"/>
          <w:bCs/>
          <w:sz w:val="24"/>
        </w:rPr>
        <w:t>of</w:t>
      </w:r>
      <w:proofErr w:type="gramEnd"/>
      <w:r w:rsidRPr="004E7D6E">
        <w:rPr>
          <w:rFonts w:ascii="Cambria" w:hAnsi="Cambria"/>
          <w:bCs/>
          <w:sz w:val="24"/>
        </w:rPr>
        <w:t xml:space="preserve"> Net </w:t>
      </w:r>
      <w:proofErr w:type="gramStart"/>
      <w:r w:rsidRPr="004E7D6E">
        <w:rPr>
          <w:rFonts w:ascii="Cambria" w:hAnsi="Cambria"/>
          <w:bCs/>
          <w:sz w:val="24"/>
        </w:rPr>
        <w:t>Cost</w:t>
      </w:r>
      <w:r w:rsidRPr="00482EF4">
        <w:rPr>
          <w:rFonts w:ascii="Cambria" w:hAnsi="Cambria"/>
          <w:bCs/>
          <w:sz w:val="24"/>
        </w:rPr>
        <w:t>;</w:t>
      </w:r>
      <w:proofErr w:type="gramEnd"/>
    </w:p>
    <w:p w14:paraId="29FBE43D" w14:textId="7E0ADCB0" w:rsidR="00916D95" w:rsidRPr="004E7D6E" w:rsidRDefault="00916D95" w:rsidP="00916D95">
      <w:pPr>
        <w:numPr>
          <w:ilvl w:val="0"/>
          <w:numId w:val="21"/>
        </w:numPr>
        <w:spacing w:before="120" w:after="120" w:line="276" w:lineRule="auto"/>
        <w:ind w:left="360"/>
        <w:rPr>
          <w:rFonts w:ascii="Cambria" w:hAnsi="Cambria"/>
          <w:bCs/>
          <w:sz w:val="24"/>
        </w:rPr>
      </w:pPr>
      <w:r w:rsidRPr="004E7D6E">
        <w:rPr>
          <w:rFonts w:ascii="Cambria" w:hAnsi="Cambria"/>
          <w:bCs/>
          <w:sz w:val="24"/>
        </w:rPr>
        <w:t xml:space="preserve">Statement of Changes in Net </w:t>
      </w:r>
      <w:proofErr w:type="gramStart"/>
      <w:r w:rsidRPr="004E7D6E">
        <w:rPr>
          <w:rFonts w:ascii="Cambria" w:hAnsi="Cambria"/>
          <w:bCs/>
          <w:sz w:val="24"/>
        </w:rPr>
        <w:t>Position;</w:t>
      </w:r>
      <w:proofErr w:type="gramEnd"/>
    </w:p>
    <w:p w14:paraId="3F6FD286" w14:textId="53E250FE" w:rsidR="00916D95" w:rsidRPr="002455D5" w:rsidRDefault="00916D95" w:rsidP="00916D95">
      <w:pPr>
        <w:numPr>
          <w:ilvl w:val="0"/>
          <w:numId w:val="21"/>
        </w:numPr>
        <w:spacing w:before="120" w:after="120" w:line="276" w:lineRule="auto"/>
        <w:ind w:left="360"/>
        <w:rPr>
          <w:rFonts w:ascii="Cambria" w:hAnsi="Cambria"/>
          <w:bCs/>
          <w:sz w:val="24"/>
        </w:rPr>
      </w:pPr>
      <w:r w:rsidRPr="002455D5">
        <w:rPr>
          <w:rFonts w:ascii="Cambria" w:hAnsi="Cambria"/>
          <w:bCs/>
          <w:sz w:val="24"/>
        </w:rPr>
        <w:t xml:space="preserve">Statement of Budgetary Resources; and </w:t>
      </w:r>
    </w:p>
    <w:p w14:paraId="3FEC3AC4" w14:textId="03B9ECA6" w:rsidR="00916D95" w:rsidRPr="004E7D6E" w:rsidRDefault="00916D95" w:rsidP="00916D95">
      <w:pPr>
        <w:numPr>
          <w:ilvl w:val="0"/>
          <w:numId w:val="21"/>
        </w:numPr>
        <w:spacing w:before="120" w:after="120" w:line="276" w:lineRule="auto"/>
        <w:ind w:left="360"/>
        <w:rPr>
          <w:rFonts w:ascii="Cambria" w:hAnsi="Cambria"/>
          <w:bCs/>
          <w:sz w:val="24"/>
        </w:rPr>
      </w:pPr>
      <w:r w:rsidRPr="004E7D6E">
        <w:rPr>
          <w:rFonts w:ascii="Cambria" w:hAnsi="Cambria"/>
          <w:bCs/>
          <w:sz w:val="24"/>
        </w:rPr>
        <w:t>Limitations of the Princip</w:t>
      </w:r>
      <w:r w:rsidR="00E90909">
        <w:rPr>
          <w:rFonts w:ascii="Cambria" w:hAnsi="Cambria"/>
          <w:bCs/>
          <w:sz w:val="24"/>
        </w:rPr>
        <w:t>al</w:t>
      </w:r>
      <w:r w:rsidRPr="004E7D6E">
        <w:rPr>
          <w:rFonts w:ascii="Cambria" w:hAnsi="Cambria"/>
          <w:bCs/>
          <w:sz w:val="24"/>
        </w:rPr>
        <w:t xml:space="preserve"> Financial Statements.</w:t>
      </w:r>
    </w:p>
    <w:p w14:paraId="6497541B" w14:textId="52AE3C39" w:rsidR="00916D95" w:rsidRDefault="00916D95" w:rsidP="00916D95">
      <w:pPr>
        <w:rPr>
          <w:rFonts w:ascii="Cambria" w:hAnsi="Cambria"/>
          <w:b/>
          <w:bCs/>
          <w:smallCaps/>
          <w:color w:val="002060"/>
          <w:sz w:val="28"/>
          <w:szCs w:val="28"/>
        </w:rPr>
      </w:pPr>
      <w:r>
        <w:rPr>
          <w:rFonts w:ascii="Cambria" w:hAnsi="Cambria"/>
          <w:b/>
          <w:bCs/>
          <w:smallCaps/>
          <w:color w:val="002060"/>
          <w:sz w:val="28"/>
          <w:szCs w:val="28"/>
        </w:rPr>
        <w:br w:type="page"/>
      </w:r>
    </w:p>
    <w:p w14:paraId="1C828706" w14:textId="142F1728" w:rsidR="00916D95" w:rsidRPr="000C50CC" w:rsidRDefault="00916D95" w:rsidP="00916D95">
      <w:pPr>
        <w:pBdr>
          <w:bottom w:val="single" w:sz="4" w:space="1" w:color="auto"/>
        </w:pBdr>
        <w:spacing w:before="240" w:line="276" w:lineRule="auto"/>
        <w:rPr>
          <w:rFonts w:ascii="Cambria" w:hAnsi="Cambria"/>
          <w:b/>
          <w:bCs/>
          <w:smallCaps/>
          <w:color w:val="002060"/>
          <w:sz w:val="28"/>
          <w:szCs w:val="28"/>
        </w:rPr>
      </w:pPr>
      <w:r w:rsidRPr="000C50CC">
        <w:rPr>
          <w:rFonts w:ascii="Cambria" w:hAnsi="Cambria"/>
          <w:b/>
          <w:bCs/>
          <w:smallCaps/>
          <w:color w:val="002060"/>
          <w:sz w:val="28"/>
          <w:szCs w:val="28"/>
        </w:rPr>
        <w:lastRenderedPageBreak/>
        <w:t>Balance Sheet</w:t>
      </w:r>
      <w:r>
        <w:rPr>
          <w:rFonts w:ascii="Cambria" w:hAnsi="Cambria"/>
          <w:b/>
          <w:bCs/>
          <w:smallCaps/>
          <w:color w:val="002060"/>
          <w:sz w:val="28"/>
          <w:szCs w:val="28"/>
        </w:rPr>
        <w:t>: Overview of Financial Position</w:t>
      </w:r>
    </w:p>
    <w:p w14:paraId="5682A448" w14:textId="7BE73CE3" w:rsidR="00916D95" w:rsidRDefault="00894879" w:rsidP="00894879">
      <w:pPr>
        <w:spacing w:before="240" w:after="0" w:line="276" w:lineRule="auto"/>
        <w:jc w:val="both"/>
        <w:rPr>
          <w:rStyle w:val="CambriaNormalChar"/>
        </w:rPr>
      </w:pPr>
      <w:r w:rsidRPr="006E53C9">
        <w:rPr>
          <w:rStyle w:val="CambriaNormalChar"/>
          <w:noProof/>
        </w:rPr>
        <w:drawing>
          <wp:anchor distT="91440" distB="91440" distL="114300" distR="114300" simplePos="0" relativeHeight="252156416" behindDoc="1" locked="0" layoutInCell="1" allowOverlap="1" wp14:anchorId="2FF4401E" wp14:editId="388D7B70">
            <wp:simplePos x="0" y="0"/>
            <wp:positionH relativeFrom="column">
              <wp:posOffset>0</wp:posOffset>
            </wp:positionH>
            <wp:positionV relativeFrom="page">
              <wp:posOffset>1657350</wp:posOffset>
            </wp:positionV>
            <wp:extent cx="3799840" cy="2834005"/>
            <wp:effectExtent l="57150" t="57150" r="86360" b="99695"/>
            <wp:wrapTight wrapText="bothSides">
              <wp:wrapPolygon edited="0">
                <wp:start x="-325" y="-436"/>
                <wp:lineTo x="-217" y="22215"/>
                <wp:lineTo x="21983" y="22215"/>
                <wp:lineTo x="21983" y="-436"/>
                <wp:lineTo x="-325" y="-436"/>
              </wp:wrapPolygon>
            </wp:wrapTight>
            <wp:docPr id="109816831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68316" name="Picture 7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799840" cy="2834005"/>
                    </a:xfrm>
                    <a:prstGeom prst="rect">
                      <a:avLst/>
                    </a:prstGeom>
                    <a:noFill/>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16D95" w:rsidRPr="000C50CC">
        <w:rPr>
          <w:rStyle w:val="CambriaNormalChar"/>
        </w:rPr>
        <w:t>The Balance Sheet present</w:t>
      </w:r>
      <w:r w:rsidR="009C1A14">
        <w:rPr>
          <w:rStyle w:val="CambriaNormalChar"/>
        </w:rPr>
        <w:t>s</w:t>
      </w:r>
      <w:r w:rsidR="00916D95" w:rsidRPr="000C50CC">
        <w:rPr>
          <w:rStyle w:val="CambriaNormalChar"/>
        </w:rPr>
        <w:t xml:space="preserve"> resources owned and managed by PCLOB that have future economic benefits (assets) and amounts owed by the agency that will require future payments (liabilities). The difference between assets and liabilities is the residual amount retained by PCLOB (net position) that is available for future programs. The Balance Sheet report</w:t>
      </w:r>
      <w:r w:rsidR="009C1A14">
        <w:rPr>
          <w:rStyle w:val="CambriaNormalChar"/>
        </w:rPr>
        <w:t>s</w:t>
      </w:r>
      <w:r w:rsidR="00916D95" w:rsidRPr="000C50CC">
        <w:rPr>
          <w:rStyle w:val="CambriaNormalChar"/>
        </w:rPr>
        <w:t xml:space="preserve"> the major components of PCLOB’s assets, liabilities, and net position at the end of FY </w:t>
      </w:r>
      <w:r w:rsidR="00916D95">
        <w:rPr>
          <w:rStyle w:val="CambriaNormalChar"/>
        </w:rPr>
        <w:t xml:space="preserve">2025 and </w:t>
      </w:r>
      <w:r w:rsidR="009C1A14">
        <w:rPr>
          <w:rStyle w:val="CambriaNormalChar"/>
        </w:rPr>
        <w:t xml:space="preserve">is </w:t>
      </w:r>
      <w:r w:rsidR="00916D95">
        <w:rPr>
          <w:rStyle w:val="CambriaNormalChar"/>
        </w:rPr>
        <w:t xml:space="preserve">summarized </w:t>
      </w:r>
      <w:r w:rsidR="00003778">
        <w:rPr>
          <w:rStyle w:val="CambriaNormalChar"/>
        </w:rPr>
        <w:t xml:space="preserve">above </w:t>
      </w:r>
      <w:r w:rsidR="00916D95">
        <w:rPr>
          <w:rStyle w:val="CambriaNormalChar"/>
        </w:rPr>
        <w:t>in Table 1</w:t>
      </w:r>
      <w:r>
        <w:rPr>
          <w:rStyle w:val="CambriaNormalChar"/>
        </w:rPr>
        <w:t xml:space="preserve">, </w:t>
      </w:r>
      <w:r>
        <w:rPr>
          <w:rStyle w:val="CambriaNormalChar"/>
          <w:i/>
          <w:iCs/>
        </w:rPr>
        <w:t>Summary Table: Balance Sheet</w:t>
      </w:r>
      <w:r w:rsidR="00003778">
        <w:rPr>
          <w:rStyle w:val="CambriaNormalChar"/>
        </w:rPr>
        <w:t>.</w:t>
      </w:r>
    </w:p>
    <w:p w14:paraId="53E94468" w14:textId="68833923" w:rsidR="00894879" w:rsidRDefault="00894879" w:rsidP="00B0403B">
      <w:pPr>
        <w:spacing w:before="240"/>
      </w:pPr>
      <w:r w:rsidRPr="00E061F5">
        <w:rPr>
          <w:noProof/>
        </w:rPr>
        <w:drawing>
          <wp:anchor distT="0" distB="0" distL="114300" distR="114300" simplePos="0" relativeHeight="252144128" behindDoc="0" locked="0" layoutInCell="1" allowOverlap="1" wp14:anchorId="392CB965" wp14:editId="49F78E8D">
            <wp:simplePos x="0" y="0"/>
            <wp:positionH relativeFrom="column">
              <wp:posOffset>3141345</wp:posOffset>
            </wp:positionH>
            <wp:positionV relativeFrom="paragraph">
              <wp:posOffset>335280</wp:posOffset>
            </wp:positionV>
            <wp:extent cx="2724150" cy="2289175"/>
            <wp:effectExtent l="57150" t="57150" r="95250" b="92075"/>
            <wp:wrapSquare wrapText="bothSides"/>
            <wp:docPr id="706887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87333" name="Picture 1"/>
                    <pic:cNvPicPr/>
                  </pic:nvPicPr>
                  <pic:blipFill>
                    <a:blip r:embed="rId40">
                      <a:extLst>
                        <a:ext uri="{28A0092B-C50C-407E-A947-70E740481C1C}">
                          <a14:useLocalDpi xmlns:a14="http://schemas.microsoft.com/office/drawing/2010/main" val="0"/>
                        </a:ext>
                      </a:extLst>
                    </a:blip>
                    <a:srcRect t="2533" b="2533"/>
                    <a:stretch>
                      <a:fillRect/>
                    </a:stretch>
                  </pic:blipFill>
                  <pic:spPr bwMode="auto">
                    <a:xfrm>
                      <a:off x="0" y="0"/>
                      <a:ext cx="2724150" cy="22891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D95" w:rsidRPr="000C50CC">
        <w:rPr>
          <w:rFonts w:ascii="Cambria" w:hAnsi="Cambria"/>
          <w:b/>
          <w:bCs/>
          <w:sz w:val="24"/>
          <w:szCs w:val="24"/>
          <w:u w:val="single"/>
        </w:rPr>
        <w:t>Assets</w:t>
      </w:r>
    </w:p>
    <w:p w14:paraId="36F23322" w14:textId="64536D21" w:rsidR="00894879" w:rsidRDefault="00894879" w:rsidP="00B0403B">
      <w:pPr>
        <w:jc w:val="both"/>
      </w:pPr>
      <w:r w:rsidRPr="000C50CC">
        <w:rPr>
          <w:rFonts w:ascii="Cambria" w:hAnsi="Cambria"/>
          <w:sz w:val="24"/>
          <w:szCs w:val="24"/>
        </w:rPr>
        <w:t>Assets are the amount of current and future economic benefits owned or managed by PCLOB</w:t>
      </w:r>
      <w:r w:rsidR="0054402F">
        <w:rPr>
          <w:rFonts w:ascii="Cambria" w:hAnsi="Cambria"/>
          <w:sz w:val="24"/>
          <w:szCs w:val="24"/>
        </w:rPr>
        <w:t xml:space="preserve"> </w:t>
      </w:r>
      <w:r w:rsidRPr="000C50CC">
        <w:rPr>
          <w:rFonts w:ascii="Cambria" w:hAnsi="Cambria"/>
          <w:sz w:val="24"/>
          <w:szCs w:val="24"/>
        </w:rPr>
        <w:t xml:space="preserve">used to achieve its mission. </w:t>
      </w:r>
      <w:r w:rsidRPr="00D75F1B">
        <w:rPr>
          <w:rFonts w:ascii="Cambria" w:hAnsi="Cambria"/>
          <w:sz w:val="24"/>
          <w:szCs w:val="24"/>
        </w:rPr>
        <w:t xml:space="preserve">Total assets were approximately </w:t>
      </w:r>
      <w:r w:rsidRPr="00F049E7">
        <w:rPr>
          <w:rFonts w:ascii="Cambria" w:hAnsi="Cambria"/>
          <w:sz w:val="24"/>
          <w:szCs w:val="24"/>
        </w:rPr>
        <w:t>$6.8 million</w:t>
      </w:r>
      <w:r w:rsidRPr="00D75F1B">
        <w:rPr>
          <w:rFonts w:ascii="Cambria" w:hAnsi="Cambria"/>
          <w:sz w:val="24"/>
          <w:szCs w:val="24"/>
        </w:rPr>
        <w:t xml:space="preserve"> </w:t>
      </w:r>
      <w:r>
        <w:rPr>
          <w:rFonts w:ascii="Cambria" w:hAnsi="Cambria"/>
          <w:sz w:val="24"/>
          <w:szCs w:val="24"/>
        </w:rPr>
        <w:t>as</w:t>
      </w:r>
      <w:r w:rsidRPr="00D75F1B">
        <w:rPr>
          <w:rFonts w:ascii="Cambria" w:hAnsi="Cambria"/>
          <w:sz w:val="24"/>
          <w:szCs w:val="24"/>
        </w:rPr>
        <w:t xml:space="preserve"> of September 30, </w:t>
      </w:r>
      <w:r>
        <w:rPr>
          <w:rFonts w:ascii="Cambria" w:hAnsi="Cambria"/>
          <w:sz w:val="24"/>
          <w:szCs w:val="24"/>
        </w:rPr>
        <w:t>2025, and</w:t>
      </w:r>
      <w:r w:rsidRPr="00F71D29">
        <w:rPr>
          <w:rFonts w:ascii="Cambria" w:hAnsi="Cambria"/>
          <w:sz w:val="24"/>
          <w:szCs w:val="24"/>
        </w:rPr>
        <w:t xml:space="preserve"> are reported in three categories </w:t>
      </w:r>
      <w:r>
        <w:rPr>
          <w:rFonts w:ascii="Cambria" w:hAnsi="Cambria"/>
          <w:sz w:val="24"/>
          <w:szCs w:val="24"/>
        </w:rPr>
        <w:t>on the Balance Sheet:</w:t>
      </w:r>
      <w:r w:rsidR="0054402F">
        <w:rPr>
          <w:rFonts w:ascii="Cambria" w:hAnsi="Cambria"/>
          <w:sz w:val="24"/>
          <w:szCs w:val="24"/>
        </w:rPr>
        <w:t xml:space="preserve"> </w:t>
      </w:r>
      <w:r>
        <w:rPr>
          <w:rFonts w:ascii="Cambria" w:hAnsi="Cambria"/>
          <w:sz w:val="24"/>
          <w:szCs w:val="24"/>
        </w:rPr>
        <w:t>Fund Balance with Treasury</w:t>
      </w:r>
      <w:r w:rsidR="00016E5B">
        <w:rPr>
          <w:rFonts w:ascii="Cambria" w:hAnsi="Cambria"/>
          <w:sz w:val="24"/>
          <w:szCs w:val="24"/>
        </w:rPr>
        <w:t xml:space="preserve"> (</w:t>
      </w:r>
      <w:proofErr w:type="spellStart"/>
      <w:r w:rsidR="00016E5B">
        <w:rPr>
          <w:rFonts w:ascii="Cambria" w:hAnsi="Cambria"/>
          <w:sz w:val="24"/>
          <w:szCs w:val="24"/>
        </w:rPr>
        <w:t>FBwT</w:t>
      </w:r>
      <w:proofErr w:type="spellEnd"/>
      <w:r w:rsidR="00016E5B">
        <w:rPr>
          <w:rFonts w:ascii="Cambria" w:hAnsi="Cambria"/>
          <w:sz w:val="24"/>
          <w:szCs w:val="24"/>
        </w:rPr>
        <w:t>)</w:t>
      </w:r>
      <w:r>
        <w:rPr>
          <w:rFonts w:ascii="Cambria" w:hAnsi="Cambria"/>
          <w:sz w:val="24"/>
          <w:szCs w:val="24"/>
        </w:rPr>
        <w:t xml:space="preserve">; Property, Plant, and Equipment, </w:t>
      </w:r>
      <w:r w:rsidR="003524E7">
        <w:rPr>
          <w:rFonts w:ascii="Cambria" w:hAnsi="Cambria"/>
          <w:sz w:val="24"/>
          <w:szCs w:val="24"/>
        </w:rPr>
        <w:t>N</w:t>
      </w:r>
      <w:r>
        <w:rPr>
          <w:rFonts w:ascii="Cambria" w:hAnsi="Cambria"/>
          <w:sz w:val="24"/>
          <w:szCs w:val="24"/>
        </w:rPr>
        <w:t>et; and Advances and Prepayments.</w:t>
      </w:r>
      <w:r w:rsidRPr="00D75F1B">
        <w:rPr>
          <w:noProof/>
        </w:rPr>
        <w:t xml:space="preserve"> </w:t>
      </w:r>
    </w:p>
    <w:p w14:paraId="2E02204C" w14:textId="5EB3C647" w:rsidR="00A75903" w:rsidRDefault="0054402F" w:rsidP="00916D95">
      <w:pPr>
        <w:spacing w:before="240" w:line="276" w:lineRule="auto"/>
        <w:jc w:val="both"/>
        <w:rPr>
          <w:rFonts w:ascii="Cambria" w:hAnsi="Cambria"/>
          <w:sz w:val="24"/>
          <w:szCs w:val="24"/>
        </w:rPr>
      </w:pPr>
      <w:r>
        <w:rPr>
          <w:rFonts w:ascii="Cambria" w:hAnsi="Cambria"/>
          <w:sz w:val="24"/>
          <w:szCs w:val="24"/>
        </w:rPr>
        <w:t xml:space="preserve">As depicted </w:t>
      </w:r>
      <w:r w:rsidRPr="00F71D29">
        <w:rPr>
          <w:rFonts w:ascii="Cambria" w:hAnsi="Cambria"/>
          <w:sz w:val="24"/>
          <w:szCs w:val="24"/>
        </w:rPr>
        <w:t xml:space="preserve">in </w:t>
      </w:r>
      <w:r>
        <w:rPr>
          <w:rFonts w:ascii="Cambria" w:hAnsi="Cambria"/>
          <w:sz w:val="24"/>
          <w:szCs w:val="24"/>
        </w:rPr>
        <w:t xml:space="preserve">Figure </w:t>
      </w:r>
      <w:r w:rsidR="00810466">
        <w:rPr>
          <w:rFonts w:ascii="Cambria" w:hAnsi="Cambria"/>
          <w:sz w:val="24"/>
          <w:szCs w:val="24"/>
        </w:rPr>
        <w:t>1</w:t>
      </w:r>
      <w:r w:rsidRPr="00F71D29">
        <w:rPr>
          <w:rFonts w:ascii="Cambria" w:hAnsi="Cambria"/>
          <w:sz w:val="24"/>
          <w:szCs w:val="24"/>
        </w:rPr>
        <w:t xml:space="preserve">, </w:t>
      </w:r>
      <w:r w:rsidRPr="00AD7A93">
        <w:rPr>
          <w:rFonts w:ascii="Cambria" w:hAnsi="Cambria"/>
          <w:i/>
          <w:iCs/>
          <w:sz w:val="24"/>
          <w:szCs w:val="24"/>
        </w:rPr>
        <w:t>PCLOB</w:t>
      </w:r>
      <w:r>
        <w:rPr>
          <w:rFonts w:ascii="Cambria" w:hAnsi="Cambria"/>
          <w:sz w:val="24"/>
          <w:szCs w:val="24"/>
        </w:rPr>
        <w:t xml:space="preserve"> </w:t>
      </w:r>
      <w:r w:rsidRPr="00766930">
        <w:rPr>
          <w:rFonts w:ascii="Cambria" w:hAnsi="Cambria"/>
          <w:i/>
          <w:iCs/>
          <w:sz w:val="24"/>
          <w:szCs w:val="24"/>
        </w:rPr>
        <w:t>Asset</w:t>
      </w:r>
      <w:r>
        <w:rPr>
          <w:rFonts w:ascii="Cambria" w:hAnsi="Cambria"/>
          <w:i/>
          <w:iCs/>
          <w:sz w:val="24"/>
          <w:szCs w:val="24"/>
        </w:rPr>
        <w:t>s By Type</w:t>
      </w:r>
      <w:r w:rsidRPr="00766930">
        <w:rPr>
          <w:rFonts w:ascii="Cambria" w:hAnsi="Cambria"/>
          <w:i/>
          <w:iCs/>
          <w:sz w:val="24"/>
          <w:szCs w:val="24"/>
        </w:rPr>
        <w:t xml:space="preserve">, </w:t>
      </w:r>
      <w:r>
        <w:rPr>
          <w:rFonts w:ascii="Cambria" w:hAnsi="Cambria"/>
          <w:i/>
          <w:iCs/>
          <w:sz w:val="24"/>
          <w:szCs w:val="24"/>
        </w:rPr>
        <w:t xml:space="preserve">September 30, </w:t>
      </w:r>
      <w:r w:rsidRPr="00AC59B8">
        <w:rPr>
          <w:rFonts w:ascii="Cambria" w:hAnsi="Cambria"/>
          <w:sz w:val="24"/>
          <w:szCs w:val="24"/>
        </w:rPr>
        <w:t>2025</w:t>
      </w:r>
      <w:r>
        <w:rPr>
          <w:rFonts w:ascii="Cambria" w:hAnsi="Cambria"/>
          <w:sz w:val="24"/>
          <w:szCs w:val="24"/>
        </w:rPr>
        <w:t xml:space="preserve">, </w:t>
      </w:r>
      <w:r w:rsidR="00916D95">
        <w:rPr>
          <w:rFonts w:ascii="Cambria" w:hAnsi="Cambria"/>
          <w:sz w:val="24"/>
          <w:szCs w:val="24"/>
        </w:rPr>
        <w:t xml:space="preserve">PCLOB’s most significant asset </w:t>
      </w:r>
      <w:r w:rsidR="002E3A31">
        <w:rPr>
          <w:rFonts w:ascii="Cambria" w:hAnsi="Cambria"/>
          <w:sz w:val="24"/>
          <w:szCs w:val="24"/>
        </w:rPr>
        <w:t>wa</w:t>
      </w:r>
      <w:r w:rsidR="00916D95">
        <w:rPr>
          <w:rFonts w:ascii="Cambria" w:hAnsi="Cambria"/>
          <w:sz w:val="24"/>
          <w:szCs w:val="24"/>
        </w:rPr>
        <w:t xml:space="preserve">s the </w:t>
      </w:r>
      <w:proofErr w:type="spellStart"/>
      <w:r w:rsidR="0022396F">
        <w:rPr>
          <w:rFonts w:ascii="Cambria" w:hAnsi="Cambria"/>
          <w:sz w:val="24"/>
          <w:szCs w:val="24"/>
        </w:rPr>
        <w:t>FBwT</w:t>
      </w:r>
      <w:proofErr w:type="spellEnd"/>
      <w:r w:rsidR="00916D95">
        <w:rPr>
          <w:rFonts w:ascii="Cambria" w:hAnsi="Cambria"/>
          <w:sz w:val="24"/>
          <w:szCs w:val="24"/>
        </w:rPr>
        <w:t xml:space="preserve"> which </w:t>
      </w:r>
      <w:r w:rsidR="00916D95" w:rsidRPr="00E061F5">
        <w:rPr>
          <w:rFonts w:ascii="Cambria" w:hAnsi="Cambria"/>
          <w:sz w:val="24"/>
          <w:szCs w:val="24"/>
        </w:rPr>
        <w:t xml:space="preserve">represented </w:t>
      </w:r>
      <w:r w:rsidR="00517849">
        <w:rPr>
          <w:rFonts w:ascii="Cambria" w:hAnsi="Cambria"/>
          <w:sz w:val="24"/>
          <w:szCs w:val="24"/>
        </w:rPr>
        <w:t xml:space="preserve">approximately </w:t>
      </w:r>
      <w:r w:rsidR="00E061F5" w:rsidRPr="00B0403B">
        <w:rPr>
          <w:rFonts w:ascii="Cambria" w:hAnsi="Cambria"/>
          <w:sz w:val="24"/>
          <w:szCs w:val="24"/>
        </w:rPr>
        <w:t>91</w:t>
      </w:r>
      <w:r w:rsidR="00916D95" w:rsidRPr="00B0403B">
        <w:rPr>
          <w:rFonts w:ascii="Cambria" w:hAnsi="Cambria"/>
          <w:sz w:val="24"/>
          <w:szCs w:val="24"/>
        </w:rPr>
        <w:t>%</w:t>
      </w:r>
      <w:r w:rsidR="00916D95">
        <w:rPr>
          <w:rFonts w:ascii="Cambria" w:hAnsi="Cambria"/>
          <w:sz w:val="24"/>
          <w:szCs w:val="24"/>
        </w:rPr>
        <w:t xml:space="preserve"> of the agency’s total assets as of September 30, 2025.</w:t>
      </w:r>
      <w:r w:rsidR="00A75903">
        <w:rPr>
          <w:rFonts w:ascii="Cambria" w:hAnsi="Cambria"/>
          <w:sz w:val="24"/>
          <w:szCs w:val="24"/>
        </w:rPr>
        <w:t xml:space="preserve"> PCLOB’s other assets were p</w:t>
      </w:r>
      <w:r w:rsidR="00A75903" w:rsidRPr="00810BA1">
        <w:rPr>
          <w:rFonts w:ascii="Cambria" w:hAnsi="Cambria"/>
          <w:sz w:val="24"/>
          <w:szCs w:val="24"/>
        </w:rPr>
        <w:t>roperty, plant, and equipment</w:t>
      </w:r>
      <w:r w:rsidR="00A75903">
        <w:rPr>
          <w:rFonts w:ascii="Cambria" w:hAnsi="Cambria"/>
          <w:sz w:val="24"/>
          <w:szCs w:val="24"/>
        </w:rPr>
        <w:t>, net and a</w:t>
      </w:r>
      <w:r w:rsidR="00A75903" w:rsidRPr="00810BA1">
        <w:rPr>
          <w:rFonts w:ascii="Cambria" w:hAnsi="Cambria"/>
          <w:sz w:val="24"/>
          <w:szCs w:val="24"/>
        </w:rPr>
        <w:t>dvances and prepayments</w:t>
      </w:r>
      <w:r w:rsidR="00A75903">
        <w:rPr>
          <w:rFonts w:ascii="Cambria" w:hAnsi="Cambria"/>
          <w:sz w:val="24"/>
          <w:szCs w:val="24"/>
        </w:rPr>
        <w:t xml:space="preserve">, representing 9% and less than 1%, respectively, of the total asset balance as of September 30, 2025. </w:t>
      </w:r>
    </w:p>
    <w:p w14:paraId="04A5F737" w14:textId="42245996" w:rsidR="007C14F9" w:rsidRDefault="00810466" w:rsidP="00916D95">
      <w:pPr>
        <w:spacing w:before="240" w:line="276" w:lineRule="auto"/>
        <w:jc w:val="both"/>
        <w:rPr>
          <w:rFonts w:ascii="Cambria" w:hAnsi="Cambria"/>
          <w:sz w:val="24"/>
          <w:szCs w:val="24"/>
        </w:rPr>
      </w:pPr>
      <w:r w:rsidRPr="00EC3823">
        <w:rPr>
          <w:rFonts w:ascii="Cambria" w:hAnsi="Cambria"/>
          <w:noProof/>
          <w:sz w:val="24"/>
          <w:szCs w:val="24"/>
        </w:rPr>
        <w:lastRenderedPageBreak/>
        <w:drawing>
          <wp:anchor distT="0" distB="0" distL="114300" distR="114300" simplePos="0" relativeHeight="252155392" behindDoc="0" locked="0" layoutInCell="1" allowOverlap="1" wp14:anchorId="39B87994" wp14:editId="44639C0B">
            <wp:simplePos x="0" y="0"/>
            <wp:positionH relativeFrom="column">
              <wp:posOffset>-8255</wp:posOffset>
            </wp:positionH>
            <wp:positionV relativeFrom="paragraph">
              <wp:posOffset>3630930</wp:posOffset>
            </wp:positionV>
            <wp:extent cx="2513330" cy="1989455"/>
            <wp:effectExtent l="57150" t="57150" r="96520" b="86995"/>
            <wp:wrapSquare wrapText="bothSides"/>
            <wp:docPr id="1685993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93345" name="Picture 1"/>
                    <pic:cNvPicPr/>
                  </pic:nvPicPr>
                  <pic:blipFill>
                    <a:blip r:embed="rId41">
                      <a:extLst>
                        <a:ext uri="{28A0092B-C50C-407E-A947-70E740481C1C}">
                          <a14:useLocalDpi xmlns:a14="http://schemas.microsoft.com/office/drawing/2010/main" val="0"/>
                        </a:ext>
                      </a:extLst>
                    </a:blip>
                    <a:srcRect t="3478" b="3478"/>
                    <a:stretch>
                      <a:fillRect/>
                    </a:stretch>
                  </pic:blipFill>
                  <pic:spPr bwMode="auto">
                    <a:xfrm>
                      <a:off x="0" y="0"/>
                      <a:ext cx="2513330" cy="198945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3823">
        <w:rPr>
          <w:rFonts w:ascii="Cambria" w:hAnsi="Cambria"/>
          <w:noProof/>
          <w:sz w:val="24"/>
          <w:szCs w:val="24"/>
        </w:rPr>
        <w:drawing>
          <wp:anchor distT="0" distB="0" distL="114300" distR="114300" simplePos="0" relativeHeight="252154368" behindDoc="0" locked="0" layoutInCell="1" allowOverlap="1" wp14:anchorId="79ADC268" wp14:editId="5B82CF9D">
            <wp:simplePos x="0" y="0"/>
            <wp:positionH relativeFrom="column">
              <wp:posOffset>-14605</wp:posOffset>
            </wp:positionH>
            <wp:positionV relativeFrom="paragraph">
              <wp:posOffset>1374140</wp:posOffset>
            </wp:positionV>
            <wp:extent cx="2513330" cy="1984375"/>
            <wp:effectExtent l="57150" t="57150" r="96520" b="92075"/>
            <wp:wrapSquare wrapText="bothSides"/>
            <wp:docPr id="1778917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17368" name="Picture 1"/>
                    <pic:cNvPicPr/>
                  </pic:nvPicPr>
                  <pic:blipFill>
                    <a:blip r:embed="rId42">
                      <a:extLst>
                        <a:ext uri="{28A0092B-C50C-407E-A947-70E740481C1C}">
                          <a14:useLocalDpi xmlns:a14="http://schemas.microsoft.com/office/drawing/2010/main" val="0"/>
                        </a:ext>
                      </a:extLst>
                    </a:blip>
                    <a:srcRect t="1628" b="1628"/>
                    <a:stretch>
                      <a:fillRect/>
                    </a:stretch>
                  </pic:blipFill>
                  <pic:spPr bwMode="auto">
                    <a:xfrm>
                      <a:off x="0" y="0"/>
                      <a:ext cx="2513330" cy="19843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A75903">
        <w:rPr>
          <w:rFonts w:ascii="Cambria" w:hAnsi="Cambria"/>
          <w:sz w:val="24"/>
          <w:szCs w:val="24"/>
        </w:rPr>
        <w:t>FBwT</w:t>
      </w:r>
      <w:proofErr w:type="spellEnd"/>
      <w:r w:rsidR="00A75903">
        <w:rPr>
          <w:rFonts w:ascii="Cambria" w:hAnsi="Cambria"/>
          <w:sz w:val="24"/>
          <w:szCs w:val="24"/>
        </w:rPr>
        <w:t xml:space="preserve">, which </w:t>
      </w:r>
      <w:r w:rsidR="00A75903" w:rsidRPr="00E061F5">
        <w:rPr>
          <w:rFonts w:ascii="Cambria" w:hAnsi="Cambria"/>
          <w:sz w:val="24"/>
          <w:szCs w:val="24"/>
        </w:rPr>
        <w:t xml:space="preserve">totaled </w:t>
      </w:r>
      <w:r w:rsidR="00A75903" w:rsidRPr="00B0403B">
        <w:rPr>
          <w:rFonts w:ascii="Cambria" w:hAnsi="Cambria"/>
          <w:sz w:val="24"/>
          <w:szCs w:val="24"/>
        </w:rPr>
        <w:t>$6.1</w:t>
      </w:r>
      <w:r w:rsidR="00A75903" w:rsidRPr="00E061F5">
        <w:rPr>
          <w:rFonts w:ascii="Cambria" w:hAnsi="Cambria"/>
          <w:sz w:val="24"/>
          <w:szCs w:val="24"/>
        </w:rPr>
        <w:t xml:space="preserve"> million</w:t>
      </w:r>
      <w:r w:rsidR="00A75903" w:rsidDel="00A75903">
        <w:rPr>
          <w:rFonts w:ascii="Cambria" w:hAnsi="Cambria"/>
          <w:sz w:val="24"/>
          <w:szCs w:val="24"/>
        </w:rPr>
        <w:t xml:space="preserve"> </w:t>
      </w:r>
      <w:r w:rsidR="00A75903">
        <w:rPr>
          <w:rFonts w:ascii="Cambria" w:hAnsi="Cambria"/>
          <w:sz w:val="24"/>
          <w:szCs w:val="24"/>
        </w:rPr>
        <w:t xml:space="preserve">as of September 30, 2025, </w:t>
      </w:r>
      <w:r w:rsidR="00916D95" w:rsidRPr="00283F3C">
        <w:rPr>
          <w:rFonts w:ascii="Cambria" w:hAnsi="Cambria"/>
          <w:sz w:val="24"/>
          <w:szCs w:val="24"/>
        </w:rPr>
        <w:t>consist</w:t>
      </w:r>
      <w:r w:rsidR="008F621F">
        <w:rPr>
          <w:rFonts w:ascii="Cambria" w:hAnsi="Cambria"/>
          <w:sz w:val="24"/>
          <w:szCs w:val="24"/>
        </w:rPr>
        <w:t>ed</w:t>
      </w:r>
      <w:r w:rsidR="00916D95" w:rsidRPr="00283F3C">
        <w:rPr>
          <w:rFonts w:ascii="Cambria" w:hAnsi="Cambria"/>
          <w:sz w:val="24"/>
          <w:szCs w:val="24"/>
        </w:rPr>
        <w:t xml:space="preserve"> of cash appropriated to </w:t>
      </w:r>
      <w:r w:rsidR="00916D95">
        <w:rPr>
          <w:rFonts w:ascii="Cambria" w:hAnsi="Cambria"/>
          <w:sz w:val="24"/>
          <w:szCs w:val="24"/>
        </w:rPr>
        <w:t>PCLOB</w:t>
      </w:r>
      <w:r w:rsidR="00916D95" w:rsidRPr="00283F3C">
        <w:rPr>
          <w:rFonts w:ascii="Cambria" w:hAnsi="Cambria"/>
          <w:sz w:val="24"/>
          <w:szCs w:val="24"/>
        </w:rPr>
        <w:t xml:space="preserve"> by Congress or transferred from other federal agencies and held in Treasury accounts that are accessible by the </w:t>
      </w:r>
      <w:r w:rsidR="00916D95">
        <w:rPr>
          <w:rFonts w:ascii="Cambria" w:hAnsi="Cambria"/>
          <w:sz w:val="24"/>
          <w:szCs w:val="24"/>
        </w:rPr>
        <w:t>a</w:t>
      </w:r>
      <w:r w:rsidR="00916D95" w:rsidRPr="00283F3C">
        <w:rPr>
          <w:rFonts w:ascii="Cambria" w:hAnsi="Cambria"/>
          <w:sz w:val="24"/>
          <w:szCs w:val="24"/>
        </w:rPr>
        <w:t xml:space="preserve">gency to pay incurred obligations. </w:t>
      </w:r>
      <w:r w:rsidR="007C14F9" w:rsidRPr="00810BA1">
        <w:rPr>
          <w:rFonts w:ascii="Cambria" w:hAnsi="Cambria"/>
          <w:noProof/>
          <w:sz w:val="24"/>
          <w:szCs w:val="24"/>
        </w:rPr>
        <w:t xml:space="preserve">As depicted in </w:t>
      </w:r>
      <w:r w:rsidR="007C14F9">
        <w:rPr>
          <w:rFonts w:ascii="Cambria" w:hAnsi="Cambria"/>
          <w:noProof/>
          <w:sz w:val="24"/>
          <w:szCs w:val="24"/>
        </w:rPr>
        <w:t xml:space="preserve">Figure </w:t>
      </w:r>
      <w:r>
        <w:rPr>
          <w:rFonts w:ascii="Cambria" w:hAnsi="Cambria"/>
          <w:noProof/>
          <w:sz w:val="24"/>
          <w:szCs w:val="24"/>
        </w:rPr>
        <w:t>2</w:t>
      </w:r>
      <w:r w:rsidR="007C14F9">
        <w:rPr>
          <w:rFonts w:ascii="Cambria" w:hAnsi="Cambria"/>
          <w:noProof/>
          <w:sz w:val="24"/>
          <w:szCs w:val="24"/>
        </w:rPr>
        <w:t xml:space="preserve">, </w:t>
      </w:r>
      <w:r w:rsidR="007C14F9" w:rsidRPr="00810BA1">
        <w:rPr>
          <w:rFonts w:ascii="Cambria" w:hAnsi="Cambria"/>
          <w:i/>
          <w:iCs/>
          <w:noProof/>
          <w:sz w:val="24"/>
          <w:szCs w:val="24"/>
        </w:rPr>
        <w:t>FBwT Balances at Year</w:t>
      </w:r>
      <w:r w:rsidR="007C14F9">
        <w:rPr>
          <w:rFonts w:ascii="Cambria" w:hAnsi="Cambria"/>
          <w:i/>
          <w:iCs/>
          <w:noProof/>
          <w:sz w:val="24"/>
          <w:szCs w:val="24"/>
        </w:rPr>
        <w:t>-</w:t>
      </w:r>
      <w:r w:rsidR="007C14F9" w:rsidRPr="00810BA1">
        <w:rPr>
          <w:rFonts w:ascii="Cambria" w:hAnsi="Cambria"/>
          <w:i/>
          <w:iCs/>
          <w:noProof/>
          <w:sz w:val="24"/>
          <w:szCs w:val="24"/>
        </w:rPr>
        <w:t xml:space="preserve">End, </w:t>
      </w:r>
      <w:r w:rsidR="007C14F9" w:rsidRPr="00810BA1">
        <w:rPr>
          <w:rFonts w:ascii="Cambria" w:hAnsi="Cambria"/>
          <w:noProof/>
          <w:sz w:val="24"/>
          <w:szCs w:val="24"/>
        </w:rPr>
        <w:t xml:space="preserve">the agency’s FBwT balances </w:t>
      </w:r>
      <w:r w:rsidR="00A75E83">
        <w:rPr>
          <w:rFonts w:ascii="Cambria" w:hAnsi="Cambria"/>
          <w:noProof/>
          <w:sz w:val="24"/>
          <w:szCs w:val="24"/>
        </w:rPr>
        <w:t>within</w:t>
      </w:r>
      <w:r w:rsidR="00700CA0">
        <w:rPr>
          <w:rFonts w:ascii="Cambria" w:hAnsi="Cambria"/>
          <w:noProof/>
          <w:sz w:val="24"/>
          <w:szCs w:val="24"/>
        </w:rPr>
        <w:t xml:space="preserve"> the last few years have varied significantly from balances just five years ago</w:t>
      </w:r>
      <w:r w:rsidR="007C14F9" w:rsidRPr="00810BA1">
        <w:rPr>
          <w:rFonts w:ascii="Cambria" w:hAnsi="Cambria"/>
          <w:noProof/>
          <w:sz w:val="24"/>
          <w:szCs w:val="24"/>
        </w:rPr>
        <w:t xml:space="preserve">. </w:t>
      </w:r>
      <w:r w:rsidR="007C14F9" w:rsidRPr="00485D13">
        <w:rPr>
          <w:rFonts w:ascii="Cambria" w:hAnsi="Cambria"/>
          <w:noProof/>
          <w:sz w:val="24"/>
          <w:szCs w:val="24"/>
        </w:rPr>
        <w:t xml:space="preserve">In FY 2016, PCLOB received a significantly larger appropriation of $21.3 million, which included funding for anticipated expenses to complete the build out and accreditation of a new </w:t>
      </w:r>
      <w:r w:rsidR="00F37F5A" w:rsidRPr="000F0DD4">
        <w:rPr>
          <w:rFonts w:ascii="Cambria" w:hAnsi="Cambria"/>
          <w:sz w:val="24"/>
          <w:szCs w:val="24"/>
        </w:rPr>
        <w:t>Sensitive Compartmented Information Facility</w:t>
      </w:r>
      <w:r w:rsidR="00F37F5A" w:rsidRPr="00485D13">
        <w:rPr>
          <w:rFonts w:ascii="Cambria" w:hAnsi="Cambria"/>
          <w:noProof/>
          <w:sz w:val="24"/>
          <w:szCs w:val="24"/>
        </w:rPr>
        <w:t xml:space="preserve"> </w:t>
      </w:r>
      <w:r w:rsidR="00F37F5A">
        <w:rPr>
          <w:rFonts w:ascii="Cambria" w:hAnsi="Cambria"/>
          <w:noProof/>
          <w:sz w:val="24"/>
          <w:szCs w:val="24"/>
        </w:rPr>
        <w:t>(</w:t>
      </w:r>
      <w:r w:rsidR="007C14F9" w:rsidRPr="00485D13">
        <w:rPr>
          <w:rFonts w:ascii="Cambria" w:hAnsi="Cambria"/>
          <w:noProof/>
          <w:sz w:val="24"/>
          <w:szCs w:val="24"/>
        </w:rPr>
        <w:t>SCIF</w:t>
      </w:r>
      <w:r w:rsidR="00F37F5A">
        <w:rPr>
          <w:rFonts w:ascii="Cambria" w:hAnsi="Cambria"/>
          <w:noProof/>
          <w:sz w:val="24"/>
          <w:szCs w:val="24"/>
        </w:rPr>
        <w:t>)</w:t>
      </w:r>
      <w:r w:rsidR="007C14F9" w:rsidRPr="00485D13">
        <w:rPr>
          <w:rFonts w:ascii="Cambria" w:hAnsi="Cambria"/>
          <w:noProof/>
          <w:sz w:val="24"/>
          <w:szCs w:val="24"/>
        </w:rPr>
        <w:t xml:space="preserve"> as well as associated moving expenses to the agency’s new headquarters location in Washington, DC. The agency managed to</w:t>
      </w:r>
      <w:r w:rsidR="00EC3823" w:rsidRPr="00EC3823">
        <w:rPr>
          <w:noProof/>
        </w:rPr>
        <w:t xml:space="preserve"> </w:t>
      </w:r>
      <w:r w:rsidR="007C14F9" w:rsidRPr="00485D13">
        <w:rPr>
          <w:rFonts w:ascii="Cambria" w:hAnsi="Cambria"/>
          <w:noProof/>
          <w:sz w:val="24"/>
          <w:szCs w:val="24"/>
        </w:rPr>
        <w:t xml:space="preserve"> complete the move and all improvements to the property considerably </w:t>
      </w:r>
      <w:r w:rsidR="00F37F5A">
        <w:rPr>
          <w:rFonts w:ascii="Cambria" w:hAnsi="Cambria"/>
          <w:noProof/>
          <w:sz w:val="24"/>
          <w:szCs w:val="24"/>
        </w:rPr>
        <w:t xml:space="preserve">well </w:t>
      </w:r>
      <w:r w:rsidR="007C14F9" w:rsidRPr="00485D13">
        <w:rPr>
          <w:rFonts w:ascii="Cambria" w:hAnsi="Cambria"/>
          <w:noProof/>
          <w:sz w:val="24"/>
          <w:szCs w:val="24"/>
        </w:rPr>
        <w:t xml:space="preserve">under budget; however, obligated funds associated with the project remained available for a five-year period to liquidate any associated project costs. After the passage of five years, however, the funds </w:t>
      </w:r>
      <w:r w:rsidR="00183DE1" w:rsidRPr="00485D13">
        <w:rPr>
          <w:rFonts w:ascii="Cambria" w:hAnsi="Cambria"/>
          <w:noProof/>
          <w:sz w:val="24"/>
          <w:szCs w:val="24"/>
        </w:rPr>
        <w:t xml:space="preserve">expired </w:t>
      </w:r>
      <w:r w:rsidR="00183DE1">
        <w:rPr>
          <w:rFonts w:ascii="Cambria" w:hAnsi="Cambria"/>
          <w:noProof/>
          <w:sz w:val="24"/>
          <w:szCs w:val="24"/>
        </w:rPr>
        <w:t>and</w:t>
      </w:r>
      <w:r w:rsidR="007C14F9" w:rsidRPr="00485D13">
        <w:rPr>
          <w:rFonts w:ascii="Cambria" w:hAnsi="Cambria"/>
          <w:noProof/>
          <w:sz w:val="24"/>
          <w:szCs w:val="24"/>
        </w:rPr>
        <w:t xml:space="preserve"> became unavailable for obligation or expenditure for any purpose and were returned to Treasury</w:t>
      </w:r>
      <w:r w:rsidR="007C14F9" w:rsidRPr="00AD7A93">
        <w:rPr>
          <w:rFonts w:ascii="Cambria" w:hAnsi="Cambria"/>
          <w:noProof/>
          <w:sz w:val="24"/>
          <w:szCs w:val="24"/>
        </w:rPr>
        <w:t>.</w:t>
      </w:r>
      <w:r w:rsidR="007C14F9" w:rsidRPr="00810BA1">
        <w:rPr>
          <w:rFonts w:ascii="Cambria" w:hAnsi="Cambria"/>
          <w:noProof/>
          <w:sz w:val="24"/>
          <w:szCs w:val="24"/>
        </w:rPr>
        <w:t xml:space="preserve"> </w:t>
      </w:r>
      <w:r w:rsidR="007C14F9">
        <w:rPr>
          <w:rFonts w:ascii="Cambria" w:hAnsi="Cambria"/>
          <w:noProof/>
          <w:sz w:val="24"/>
          <w:szCs w:val="24"/>
        </w:rPr>
        <w:t xml:space="preserve">As PCLOB returned </w:t>
      </w:r>
      <w:r w:rsidR="0056615B">
        <w:rPr>
          <w:rFonts w:ascii="Cambria" w:hAnsi="Cambria"/>
          <w:noProof/>
          <w:sz w:val="24"/>
          <w:szCs w:val="24"/>
        </w:rPr>
        <w:t>millions of</w:t>
      </w:r>
      <w:r w:rsidR="007C14F9">
        <w:rPr>
          <w:rFonts w:ascii="Cambria" w:hAnsi="Cambria"/>
          <w:noProof/>
          <w:sz w:val="24"/>
          <w:szCs w:val="24"/>
        </w:rPr>
        <w:t xml:space="preserve"> </w:t>
      </w:r>
      <w:r w:rsidR="007C14F9" w:rsidRPr="00810BA1">
        <w:rPr>
          <w:rFonts w:ascii="Cambria" w:hAnsi="Cambria"/>
          <w:noProof/>
          <w:sz w:val="24"/>
          <w:szCs w:val="24"/>
        </w:rPr>
        <w:t>cancelled funds to Treasury</w:t>
      </w:r>
      <w:r w:rsidR="007C14F9">
        <w:rPr>
          <w:rFonts w:ascii="Cambria" w:hAnsi="Cambria"/>
          <w:noProof/>
          <w:sz w:val="24"/>
          <w:szCs w:val="24"/>
        </w:rPr>
        <w:t xml:space="preserve"> </w:t>
      </w:r>
      <w:r w:rsidR="0056615B">
        <w:rPr>
          <w:rFonts w:ascii="Cambria" w:hAnsi="Cambria"/>
          <w:noProof/>
          <w:sz w:val="24"/>
          <w:szCs w:val="24"/>
        </w:rPr>
        <w:t xml:space="preserve">(see Figure </w:t>
      </w:r>
      <w:r>
        <w:rPr>
          <w:rFonts w:ascii="Cambria" w:hAnsi="Cambria"/>
          <w:noProof/>
          <w:sz w:val="24"/>
          <w:szCs w:val="24"/>
        </w:rPr>
        <w:t>3</w:t>
      </w:r>
      <w:r w:rsidR="0056615B">
        <w:rPr>
          <w:rFonts w:ascii="Cambria" w:hAnsi="Cambria"/>
          <w:noProof/>
          <w:sz w:val="24"/>
          <w:szCs w:val="24"/>
        </w:rPr>
        <w:t xml:space="preserve">, </w:t>
      </w:r>
      <w:r w:rsidR="0056615B">
        <w:rPr>
          <w:rFonts w:ascii="Cambria" w:hAnsi="Cambria"/>
          <w:i/>
          <w:iCs/>
          <w:noProof/>
          <w:sz w:val="24"/>
          <w:szCs w:val="24"/>
        </w:rPr>
        <w:t>Cancelled Funds to Treasury at Year-End</w:t>
      </w:r>
      <w:r w:rsidR="0056615B">
        <w:rPr>
          <w:rFonts w:ascii="Cambria" w:hAnsi="Cambria"/>
          <w:noProof/>
          <w:sz w:val="24"/>
          <w:szCs w:val="24"/>
        </w:rPr>
        <w:t>)</w:t>
      </w:r>
      <w:r w:rsidR="007C14F9" w:rsidRPr="00810BA1">
        <w:rPr>
          <w:rFonts w:ascii="Cambria" w:hAnsi="Cambria"/>
          <w:noProof/>
          <w:sz w:val="24"/>
          <w:szCs w:val="24"/>
        </w:rPr>
        <w:t xml:space="preserve">, </w:t>
      </w:r>
      <w:r w:rsidR="007C14F9">
        <w:rPr>
          <w:rFonts w:ascii="Cambria" w:hAnsi="Cambria"/>
          <w:noProof/>
          <w:sz w:val="24"/>
          <w:szCs w:val="24"/>
        </w:rPr>
        <w:t>the agency’s FBwT balance consequently decreased significantly.</w:t>
      </w:r>
      <w:r w:rsidR="007C14F9">
        <w:rPr>
          <w:rFonts w:ascii="Cambria" w:hAnsi="Cambria"/>
          <w:sz w:val="24"/>
          <w:szCs w:val="24"/>
        </w:rPr>
        <w:t xml:space="preserve"> By FY 202</w:t>
      </w:r>
      <w:r w:rsidR="00EC3823">
        <w:rPr>
          <w:rFonts w:ascii="Cambria" w:hAnsi="Cambria"/>
          <w:sz w:val="24"/>
          <w:szCs w:val="24"/>
        </w:rPr>
        <w:t>4</w:t>
      </w:r>
      <w:r w:rsidR="007C14F9">
        <w:rPr>
          <w:rFonts w:ascii="Cambria" w:hAnsi="Cambria"/>
          <w:sz w:val="24"/>
          <w:szCs w:val="24"/>
        </w:rPr>
        <w:t xml:space="preserve">, PCLOB had returned all funds leftover from the FY 2016 appropriation; cancelled funds returned to Treasury at year’s end amounted to </w:t>
      </w:r>
      <w:r w:rsidR="00183DE1">
        <w:rPr>
          <w:rFonts w:ascii="Cambria" w:hAnsi="Cambria"/>
          <w:sz w:val="24"/>
          <w:szCs w:val="24"/>
        </w:rPr>
        <w:t xml:space="preserve">approximately </w:t>
      </w:r>
      <w:r w:rsidR="00EC3823">
        <w:rPr>
          <w:rFonts w:ascii="Cambria" w:hAnsi="Cambria"/>
          <w:sz w:val="24"/>
          <w:szCs w:val="24"/>
        </w:rPr>
        <w:t>$331 thousand in FY 2025</w:t>
      </w:r>
      <w:r w:rsidR="007C14F9">
        <w:rPr>
          <w:rFonts w:ascii="Cambria" w:hAnsi="Cambria"/>
          <w:sz w:val="24"/>
          <w:szCs w:val="24"/>
        </w:rPr>
        <w:t>.</w:t>
      </w:r>
      <w:r w:rsidR="0056615B">
        <w:rPr>
          <w:rFonts w:ascii="Cambria" w:hAnsi="Cambria"/>
          <w:sz w:val="24"/>
          <w:szCs w:val="24"/>
        </w:rPr>
        <w:t xml:space="preserve"> </w:t>
      </w:r>
      <w:r w:rsidR="0056615B" w:rsidRPr="0056615B">
        <w:rPr>
          <w:rFonts w:ascii="Cambria" w:hAnsi="Cambria"/>
          <w:sz w:val="24"/>
          <w:szCs w:val="24"/>
        </w:rPr>
        <w:t xml:space="preserve">Ultimately, the proactive and deliberate effort to return millions of unused taxpayer dollars to the Treasury showcases PCLOB’s exemplary fiscal integrity </w:t>
      </w:r>
      <w:r w:rsidR="0056615B">
        <w:rPr>
          <w:rFonts w:ascii="Cambria" w:hAnsi="Cambria"/>
          <w:sz w:val="24"/>
          <w:szCs w:val="24"/>
        </w:rPr>
        <w:t>as well as its steadily maturing financial resource management.</w:t>
      </w:r>
    </w:p>
    <w:p w14:paraId="483DDBE1" w14:textId="05340CE3" w:rsidR="00916D95" w:rsidRPr="00810BA1" w:rsidRDefault="00916D95" w:rsidP="00916D95">
      <w:pPr>
        <w:spacing w:before="240" w:line="276" w:lineRule="auto"/>
        <w:jc w:val="both"/>
        <w:rPr>
          <w:rFonts w:ascii="Cambria" w:hAnsi="Cambria"/>
          <w:sz w:val="24"/>
          <w:szCs w:val="24"/>
        </w:rPr>
      </w:pPr>
      <w:r w:rsidRPr="00810BA1">
        <w:rPr>
          <w:rFonts w:ascii="Cambria" w:hAnsi="Cambria"/>
          <w:sz w:val="24"/>
          <w:szCs w:val="24"/>
        </w:rPr>
        <w:t xml:space="preserve">PCLOB’s remaining assets at the end of FY </w:t>
      </w:r>
      <w:r>
        <w:rPr>
          <w:rFonts w:ascii="Cambria" w:hAnsi="Cambria"/>
          <w:sz w:val="24"/>
          <w:szCs w:val="24"/>
        </w:rPr>
        <w:t>2025</w:t>
      </w:r>
      <w:r w:rsidRPr="00810BA1">
        <w:rPr>
          <w:rFonts w:ascii="Cambria" w:hAnsi="Cambria"/>
          <w:sz w:val="24"/>
          <w:szCs w:val="24"/>
        </w:rPr>
        <w:t xml:space="preserve">, which included </w:t>
      </w:r>
      <w:r>
        <w:rPr>
          <w:rFonts w:ascii="Cambria" w:hAnsi="Cambria"/>
          <w:sz w:val="24"/>
          <w:szCs w:val="24"/>
        </w:rPr>
        <w:t xml:space="preserve">net </w:t>
      </w:r>
      <w:r w:rsidRPr="00810BA1">
        <w:rPr>
          <w:rFonts w:ascii="Cambria" w:hAnsi="Cambria"/>
          <w:sz w:val="24"/>
          <w:szCs w:val="24"/>
        </w:rPr>
        <w:t xml:space="preserve">property, plant, and equipment </w:t>
      </w:r>
      <w:r w:rsidR="003F3861">
        <w:rPr>
          <w:rFonts w:ascii="Cambria" w:hAnsi="Cambria"/>
          <w:sz w:val="24"/>
          <w:szCs w:val="24"/>
        </w:rPr>
        <w:t>and</w:t>
      </w:r>
      <w:r w:rsidR="00DF28BE">
        <w:rPr>
          <w:rFonts w:ascii="Cambria" w:hAnsi="Cambria"/>
          <w:sz w:val="24"/>
          <w:szCs w:val="24"/>
        </w:rPr>
        <w:t xml:space="preserve"> </w:t>
      </w:r>
      <w:r w:rsidRPr="00810BA1">
        <w:rPr>
          <w:rFonts w:ascii="Cambria" w:hAnsi="Cambria"/>
          <w:sz w:val="24"/>
          <w:szCs w:val="24"/>
        </w:rPr>
        <w:t>advances and prepayments,</w:t>
      </w:r>
      <w:r w:rsidR="00A75E83">
        <w:rPr>
          <w:rFonts w:ascii="Cambria" w:hAnsi="Cambria"/>
          <w:sz w:val="24"/>
          <w:szCs w:val="24"/>
        </w:rPr>
        <w:t xml:space="preserve"> collectively</w:t>
      </w:r>
      <w:r w:rsidRPr="00810BA1">
        <w:rPr>
          <w:rFonts w:ascii="Cambria" w:hAnsi="Cambria"/>
          <w:sz w:val="24"/>
          <w:szCs w:val="24"/>
        </w:rPr>
        <w:t xml:space="preserve"> </w:t>
      </w:r>
      <w:r w:rsidRPr="00B0403B">
        <w:rPr>
          <w:rFonts w:ascii="Cambria" w:hAnsi="Cambria"/>
          <w:sz w:val="24"/>
          <w:szCs w:val="24"/>
        </w:rPr>
        <w:t>decreased</w:t>
      </w:r>
      <w:r w:rsidRPr="00810BA1">
        <w:rPr>
          <w:rFonts w:ascii="Cambria" w:hAnsi="Cambria"/>
          <w:sz w:val="24"/>
          <w:szCs w:val="24"/>
        </w:rPr>
        <w:t xml:space="preserve"> </w:t>
      </w:r>
      <w:r w:rsidR="00183DE1">
        <w:rPr>
          <w:rFonts w:ascii="Cambria" w:hAnsi="Cambria"/>
          <w:sz w:val="24"/>
          <w:szCs w:val="24"/>
        </w:rPr>
        <w:t xml:space="preserve">from </w:t>
      </w:r>
      <w:r w:rsidR="00A75E83">
        <w:rPr>
          <w:rFonts w:ascii="Cambria" w:hAnsi="Cambria"/>
          <w:sz w:val="24"/>
          <w:szCs w:val="24"/>
        </w:rPr>
        <w:t>FY 2024</w:t>
      </w:r>
      <w:r w:rsidRPr="00810BA1">
        <w:rPr>
          <w:rFonts w:ascii="Cambria" w:hAnsi="Cambria"/>
          <w:sz w:val="24"/>
          <w:szCs w:val="24"/>
        </w:rPr>
        <w:t xml:space="preserve">. </w:t>
      </w:r>
      <w:r w:rsidR="00557205">
        <w:rPr>
          <w:rFonts w:ascii="Cambria" w:hAnsi="Cambria"/>
          <w:sz w:val="24"/>
          <w:szCs w:val="24"/>
        </w:rPr>
        <w:t>Net p</w:t>
      </w:r>
      <w:r w:rsidRPr="00810BA1">
        <w:rPr>
          <w:rFonts w:ascii="Cambria" w:hAnsi="Cambria"/>
          <w:sz w:val="24"/>
          <w:szCs w:val="24"/>
        </w:rPr>
        <w:t xml:space="preserve">roperty, plant, and equipment, largely </w:t>
      </w:r>
      <w:r w:rsidR="00335ADA">
        <w:rPr>
          <w:rFonts w:ascii="Cambria" w:hAnsi="Cambria"/>
          <w:sz w:val="24"/>
          <w:szCs w:val="24"/>
        </w:rPr>
        <w:t>composed</w:t>
      </w:r>
      <w:r w:rsidR="00335ADA" w:rsidRPr="00810BA1">
        <w:rPr>
          <w:rFonts w:ascii="Cambria" w:hAnsi="Cambria"/>
          <w:sz w:val="24"/>
          <w:szCs w:val="24"/>
        </w:rPr>
        <w:t xml:space="preserve"> </w:t>
      </w:r>
      <w:r w:rsidRPr="00810BA1">
        <w:rPr>
          <w:rFonts w:ascii="Cambria" w:hAnsi="Cambria"/>
          <w:sz w:val="24"/>
          <w:szCs w:val="24"/>
        </w:rPr>
        <w:t>of leasehold improvements necessary to build the agency’s SCIF as well as other tangible assets such as equipment and furniture owned by the agency</w:t>
      </w:r>
      <w:r w:rsidR="002E3A31">
        <w:rPr>
          <w:rFonts w:ascii="Cambria" w:hAnsi="Cambria"/>
          <w:sz w:val="24"/>
          <w:szCs w:val="24"/>
        </w:rPr>
        <w:t xml:space="preserve">, </w:t>
      </w:r>
      <w:r w:rsidR="003F3861">
        <w:rPr>
          <w:rFonts w:ascii="Cambria" w:hAnsi="Cambria"/>
          <w:sz w:val="24"/>
          <w:szCs w:val="24"/>
        </w:rPr>
        <w:t>dec</w:t>
      </w:r>
      <w:r w:rsidR="00557205">
        <w:rPr>
          <w:rFonts w:ascii="Cambria" w:hAnsi="Cambria"/>
          <w:sz w:val="24"/>
          <w:szCs w:val="24"/>
        </w:rPr>
        <w:t>reased by approximately $2</w:t>
      </w:r>
      <w:r w:rsidR="003F3861">
        <w:rPr>
          <w:rFonts w:ascii="Cambria" w:hAnsi="Cambria"/>
          <w:sz w:val="24"/>
          <w:szCs w:val="24"/>
        </w:rPr>
        <w:t>7</w:t>
      </w:r>
      <w:r w:rsidR="00557205">
        <w:rPr>
          <w:rFonts w:ascii="Cambria" w:hAnsi="Cambria"/>
          <w:sz w:val="24"/>
          <w:szCs w:val="24"/>
        </w:rPr>
        <w:t>5 thousand</w:t>
      </w:r>
      <w:r w:rsidR="003F3861">
        <w:rPr>
          <w:rFonts w:ascii="Cambria" w:hAnsi="Cambria"/>
          <w:sz w:val="24"/>
          <w:szCs w:val="24"/>
        </w:rPr>
        <w:t xml:space="preserve"> (31%), from approximately $900 thousand in FY 2024 to approximately $625 thousand in FY 2025 due to costs associated with the </w:t>
      </w:r>
      <w:r w:rsidR="00557205">
        <w:rPr>
          <w:rFonts w:ascii="Cambria" w:hAnsi="Cambria"/>
          <w:sz w:val="24"/>
          <w:szCs w:val="24"/>
        </w:rPr>
        <w:t>disposal</w:t>
      </w:r>
      <w:r w:rsidR="00A75E83">
        <w:rPr>
          <w:rFonts w:ascii="Cambria" w:hAnsi="Cambria"/>
          <w:sz w:val="24"/>
          <w:szCs w:val="24"/>
        </w:rPr>
        <w:t xml:space="preserve"> </w:t>
      </w:r>
      <w:r w:rsidR="00557205">
        <w:rPr>
          <w:rFonts w:ascii="Cambria" w:hAnsi="Cambria"/>
          <w:sz w:val="24"/>
          <w:szCs w:val="24"/>
        </w:rPr>
        <w:t xml:space="preserve">of obsolete equipment </w:t>
      </w:r>
      <w:r w:rsidR="00C87FFA">
        <w:rPr>
          <w:rFonts w:ascii="Cambria" w:hAnsi="Cambria"/>
          <w:sz w:val="24"/>
          <w:szCs w:val="24"/>
        </w:rPr>
        <w:t>and</w:t>
      </w:r>
      <w:r w:rsidR="003F3861">
        <w:rPr>
          <w:rFonts w:ascii="Cambria" w:hAnsi="Cambria"/>
          <w:sz w:val="24"/>
          <w:szCs w:val="24"/>
        </w:rPr>
        <w:t xml:space="preserve"> </w:t>
      </w:r>
      <w:r w:rsidR="00557205">
        <w:rPr>
          <w:rFonts w:ascii="Cambria" w:hAnsi="Cambria"/>
          <w:sz w:val="24"/>
          <w:szCs w:val="24"/>
        </w:rPr>
        <w:t>depreciation.</w:t>
      </w:r>
      <w:r w:rsidRPr="00810BA1">
        <w:rPr>
          <w:rFonts w:ascii="Cambria" w:hAnsi="Cambria"/>
          <w:sz w:val="24"/>
          <w:szCs w:val="24"/>
        </w:rPr>
        <w:t xml:space="preserve"> Advances and prepayments for various contracted services and subscriptions</w:t>
      </w:r>
      <w:r w:rsidR="0054402F">
        <w:rPr>
          <w:rFonts w:ascii="Cambria" w:hAnsi="Cambria"/>
          <w:sz w:val="24"/>
          <w:szCs w:val="24"/>
        </w:rPr>
        <w:t xml:space="preserve"> </w:t>
      </w:r>
      <w:r w:rsidRPr="00810BA1">
        <w:rPr>
          <w:rFonts w:ascii="Cambria" w:hAnsi="Cambria"/>
          <w:sz w:val="24"/>
          <w:szCs w:val="24"/>
        </w:rPr>
        <w:t xml:space="preserve"> decreased </w:t>
      </w:r>
      <w:r w:rsidR="00C87FFA">
        <w:rPr>
          <w:rFonts w:ascii="Cambria" w:hAnsi="Cambria"/>
          <w:sz w:val="24"/>
          <w:szCs w:val="24"/>
        </w:rPr>
        <w:t xml:space="preserve">by </w:t>
      </w:r>
      <w:r w:rsidRPr="00C87FFA">
        <w:rPr>
          <w:rFonts w:ascii="Cambria" w:hAnsi="Cambria"/>
          <w:sz w:val="24"/>
          <w:szCs w:val="24"/>
        </w:rPr>
        <w:t xml:space="preserve">approximately </w:t>
      </w:r>
      <w:r w:rsidRPr="00B0403B">
        <w:rPr>
          <w:rFonts w:ascii="Cambria" w:hAnsi="Cambria"/>
          <w:sz w:val="24"/>
          <w:szCs w:val="24"/>
        </w:rPr>
        <w:lastRenderedPageBreak/>
        <w:t>$</w:t>
      </w:r>
      <w:r w:rsidR="00C87FFA" w:rsidRPr="00B0403B">
        <w:rPr>
          <w:rFonts w:ascii="Cambria" w:hAnsi="Cambria"/>
          <w:sz w:val="24"/>
          <w:szCs w:val="24"/>
        </w:rPr>
        <w:t xml:space="preserve">81 </w:t>
      </w:r>
      <w:r w:rsidRPr="00B0403B">
        <w:rPr>
          <w:rFonts w:ascii="Cambria" w:hAnsi="Cambria"/>
          <w:sz w:val="24"/>
          <w:szCs w:val="24"/>
        </w:rPr>
        <w:t>thousand (</w:t>
      </w:r>
      <w:r w:rsidR="00C87FFA" w:rsidRPr="00B0403B">
        <w:rPr>
          <w:rFonts w:ascii="Cambria" w:hAnsi="Cambria"/>
          <w:sz w:val="24"/>
          <w:szCs w:val="24"/>
        </w:rPr>
        <w:t>83</w:t>
      </w:r>
      <w:r w:rsidRPr="00B0403B">
        <w:rPr>
          <w:rFonts w:ascii="Cambria" w:hAnsi="Cambria"/>
          <w:sz w:val="24"/>
          <w:szCs w:val="24"/>
        </w:rPr>
        <w:t>%)</w:t>
      </w:r>
      <w:r w:rsidR="00C87FFA" w:rsidRPr="00C87FFA">
        <w:rPr>
          <w:rFonts w:ascii="Cambria" w:hAnsi="Cambria"/>
          <w:sz w:val="24"/>
          <w:szCs w:val="24"/>
        </w:rPr>
        <w:t>, from approximately $98 thousand in FY</w:t>
      </w:r>
      <w:r w:rsidR="00373A44">
        <w:rPr>
          <w:rFonts w:ascii="Cambria" w:hAnsi="Cambria"/>
          <w:sz w:val="24"/>
          <w:szCs w:val="24"/>
        </w:rPr>
        <w:t xml:space="preserve"> 20</w:t>
      </w:r>
      <w:r w:rsidR="00C87FFA" w:rsidRPr="00C87FFA">
        <w:rPr>
          <w:rFonts w:ascii="Cambria" w:hAnsi="Cambria"/>
          <w:sz w:val="24"/>
          <w:szCs w:val="24"/>
        </w:rPr>
        <w:t>24 to approximately $17 thous</w:t>
      </w:r>
      <w:r w:rsidR="00C87FFA">
        <w:rPr>
          <w:rFonts w:ascii="Cambria" w:hAnsi="Cambria"/>
          <w:sz w:val="24"/>
          <w:szCs w:val="24"/>
        </w:rPr>
        <w:t>and in FY 2025. As PCLOB</w:t>
      </w:r>
      <w:r w:rsidRPr="00810BA1">
        <w:rPr>
          <w:rFonts w:ascii="Cambria" w:hAnsi="Cambria"/>
          <w:sz w:val="24"/>
          <w:szCs w:val="24"/>
        </w:rPr>
        <w:t xml:space="preserve"> continued </w:t>
      </w:r>
      <w:r w:rsidR="00C87FFA">
        <w:rPr>
          <w:rFonts w:ascii="Cambria" w:hAnsi="Cambria"/>
          <w:sz w:val="24"/>
          <w:szCs w:val="24"/>
        </w:rPr>
        <w:t xml:space="preserve">to </w:t>
      </w:r>
      <w:r w:rsidRPr="00810BA1">
        <w:rPr>
          <w:rFonts w:ascii="Cambria" w:hAnsi="Cambria"/>
          <w:sz w:val="24"/>
          <w:szCs w:val="24"/>
        </w:rPr>
        <w:t xml:space="preserve">transition </w:t>
      </w:r>
      <w:r w:rsidR="00C87FFA">
        <w:rPr>
          <w:rFonts w:ascii="Cambria" w:hAnsi="Cambria"/>
          <w:sz w:val="24"/>
          <w:szCs w:val="24"/>
        </w:rPr>
        <w:t xml:space="preserve">contracts from one </w:t>
      </w:r>
      <w:r w:rsidRPr="00810BA1">
        <w:rPr>
          <w:rFonts w:ascii="Cambria" w:hAnsi="Cambria"/>
          <w:sz w:val="24"/>
          <w:szCs w:val="24"/>
        </w:rPr>
        <w:t xml:space="preserve">procurement service provider, the Department of </w:t>
      </w:r>
      <w:r>
        <w:rPr>
          <w:rFonts w:ascii="Cambria" w:hAnsi="Cambria"/>
          <w:sz w:val="24"/>
          <w:szCs w:val="24"/>
        </w:rPr>
        <w:t xml:space="preserve">the </w:t>
      </w:r>
      <w:r w:rsidRPr="00810BA1">
        <w:rPr>
          <w:rFonts w:ascii="Cambria" w:hAnsi="Cambria"/>
          <w:sz w:val="24"/>
          <w:szCs w:val="24"/>
        </w:rPr>
        <w:t>Interior</w:t>
      </w:r>
      <w:r>
        <w:rPr>
          <w:rFonts w:ascii="Cambria" w:hAnsi="Cambria"/>
          <w:sz w:val="24"/>
          <w:szCs w:val="24"/>
        </w:rPr>
        <w:t>, or DOI</w:t>
      </w:r>
      <w:r w:rsidRPr="00810BA1">
        <w:rPr>
          <w:rFonts w:ascii="Cambria" w:hAnsi="Cambria"/>
          <w:sz w:val="24"/>
          <w:szCs w:val="24"/>
        </w:rPr>
        <w:t xml:space="preserve"> (which require</w:t>
      </w:r>
      <w:r>
        <w:rPr>
          <w:rFonts w:ascii="Cambria" w:hAnsi="Cambria"/>
          <w:sz w:val="24"/>
          <w:szCs w:val="24"/>
        </w:rPr>
        <w:t>s</w:t>
      </w:r>
      <w:r w:rsidRPr="00810BA1">
        <w:rPr>
          <w:rFonts w:ascii="Cambria" w:hAnsi="Cambria"/>
          <w:sz w:val="24"/>
          <w:szCs w:val="24"/>
        </w:rPr>
        <w:t xml:space="preserve"> contract costs to be paid in advance)</w:t>
      </w:r>
      <w:r>
        <w:rPr>
          <w:rFonts w:ascii="Cambria" w:hAnsi="Cambria"/>
          <w:sz w:val="24"/>
          <w:szCs w:val="24"/>
        </w:rPr>
        <w:t>,</w:t>
      </w:r>
      <w:r w:rsidRPr="00810BA1">
        <w:rPr>
          <w:rFonts w:ascii="Cambria" w:hAnsi="Cambria"/>
          <w:sz w:val="24"/>
          <w:szCs w:val="24"/>
        </w:rPr>
        <w:t xml:space="preserve"> to</w:t>
      </w:r>
      <w:r>
        <w:rPr>
          <w:rFonts w:ascii="Cambria" w:hAnsi="Cambria"/>
          <w:sz w:val="24"/>
          <w:szCs w:val="24"/>
        </w:rPr>
        <w:t xml:space="preserve"> </w:t>
      </w:r>
      <w:r w:rsidR="00C87FFA">
        <w:rPr>
          <w:rFonts w:ascii="Cambria" w:hAnsi="Cambria"/>
          <w:sz w:val="24"/>
          <w:szCs w:val="24"/>
        </w:rPr>
        <w:t xml:space="preserve">another procurement service provider, </w:t>
      </w:r>
      <w:r>
        <w:rPr>
          <w:rFonts w:ascii="Cambria" w:hAnsi="Cambria"/>
          <w:sz w:val="24"/>
          <w:szCs w:val="24"/>
        </w:rPr>
        <w:t>the</w:t>
      </w:r>
      <w:r w:rsidRPr="00810BA1">
        <w:rPr>
          <w:rFonts w:ascii="Cambria" w:hAnsi="Cambria"/>
          <w:sz w:val="24"/>
          <w:szCs w:val="24"/>
        </w:rPr>
        <w:t xml:space="preserve"> Administrative Resource Center (ARC)</w:t>
      </w:r>
      <w:r>
        <w:rPr>
          <w:rFonts w:ascii="Cambria" w:hAnsi="Cambria"/>
          <w:sz w:val="24"/>
          <w:szCs w:val="24"/>
        </w:rPr>
        <w:t xml:space="preserve">, a federal shared service provider in the </w:t>
      </w:r>
      <w:r w:rsidRPr="001C5AD3">
        <w:rPr>
          <w:rFonts w:ascii="Cambria" w:hAnsi="Cambria"/>
          <w:sz w:val="24"/>
          <w:szCs w:val="24"/>
        </w:rPr>
        <w:t xml:space="preserve">Treasury’s </w:t>
      </w:r>
      <w:r>
        <w:rPr>
          <w:rFonts w:ascii="Cambria" w:hAnsi="Cambria"/>
          <w:sz w:val="24"/>
          <w:szCs w:val="24"/>
        </w:rPr>
        <w:t>Bureau of the Fiscal Service</w:t>
      </w:r>
      <w:r w:rsidR="00C87FFA">
        <w:rPr>
          <w:rFonts w:ascii="Cambria" w:hAnsi="Cambria"/>
          <w:sz w:val="24"/>
          <w:szCs w:val="24"/>
        </w:rPr>
        <w:t xml:space="preserve">, </w:t>
      </w:r>
      <w:r w:rsidRPr="00810BA1">
        <w:rPr>
          <w:rFonts w:ascii="Cambria" w:hAnsi="Cambria"/>
          <w:sz w:val="24"/>
          <w:szCs w:val="24"/>
        </w:rPr>
        <w:t xml:space="preserve">fewer advance </w:t>
      </w:r>
      <w:r w:rsidR="00C87FFA">
        <w:rPr>
          <w:rFonts w:ascii="Cambria" w:hAnsi="Cambria"/>
          <w:sz w:val="24"/>
          <w:szCs w:val="24"/>
        </w:rPr>
        <w:t>contracts</w:t>
      </w:r>
      <w:r w:rsidR="00C87FFA" w:rsidRPr="00810BA1">
        <w:rPr>
          <w:rFonts w:ascii="Cambria" w:hAnsi="Cambria"/>
          <w:sz w:val="24"/>
          <w:szCs w:val="24"/>
        </w:rPr>
        <w:t xml:space="preserve"> </w:t>
      </w:r>
      <w:r>
        <w:rPr>
          <w:rFonts w:ascii="Cambria" w:hAnsi="Cambria"/>
          <w:sz w:val="24"/>
          <w:szCs w:val="24"/>
        </w:rPr>
        <w:t>we</w:t>
      </w:r>
      <w:r w:rsidRPr="00810BA1">
        <w:rPr>
          <w:rFonts w:ascii="Cambria" w:hAnsi="Cambria"/>
          <w:sz w:val="24"/>
          <w:szCs w:val="24"/>
        </w:rPr>
        <w:t>re necessary.</w:t>
      </w:r>
    </w:p>
    <w:p w14:paraId="08292693" w14:textId="38DF0BB3" w:rsidR="00916D95" w:rsidRPr="000C50CC" w:rsidRDefault="008F621F" w:rsidP="00916D95">
      <w:pPr>
        <w:keepNext/>
        <w:keepLines/>
        <w:spacing w:before="240" w:line="276" w:lineRule="auto"/>
        <w:jc w:val="both"/>
        <w:rPr>
          <w:rFonts w:ascii="Cambria" w:hAnsi="Cambria"/>
          <w:b/>
          <w:bCs/>
          <w:sz w:val="24"/>
          <w:szCs w:val="24"/>
          <w:u w:val="single"/>
        </w:rPr>
      </w:pPr>
      <w:r>
        <w:rPr>
          <w:noProof/>
        </w:rPr>
        <w:drawing>
          <wp:anchor distT="0" distB="0" distL="114300" distR="114300" simplePos="0" relativeHeight="252079616" behindDoc="0" locked="0" layoutInCell="1" allowOverlap="1" wp14:anchorId="15F84D0C" wp14:editId="1E17A149">
            <wp:simplePos x="0" y="0"/>
            <wp:positionH relativeFrom="page">
              <wp:posOffset>923924</wp:posOffset>
            </wp:positionH>
            <wp:positionV relativeFrom="page">
              <wp:posOffset>2638425</wp:posOffset>
            </wp:positionV>
            <wp:extent cx="2998287" cy="2352675"/>
            <wp:effectExtent l="57150" t="57150" r="88265" b="85725"/>
            <wp:wrapSquare wrapText="bothSides"/>
            <wp:docPr id="153519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91835" name="Picture 1"/>
                    <pic:cNvPicPr/>
                  </pic:nvPicPr>
                  <pic:blipFill>
                    <a:blip r:embed="rId43">
                      <a:extLst>
                        <a:ext uri="{28A0092B-C50C-407E-A947-70E740481C1C}">
                          <a14:useLocalDpi xmlns:a14="http://schemas.microsoft.com/office/drawing/2010/main" val="0"/>
                        </a:ext>
                      </a:extLst>
                    </a:blip>
                    <a:srcRect t="4212" b="4212"/>
                    <a:stretch>
                      <a:fillRect/>
                    </a:stretch>
                  </pic:blipFill>
                  <pic:spPr bwMode="auto">
                    <a:xfrm>
                      <a:off x="0" y="0"/>
                      <a:ext cx="2999606" cy="235371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D95" w:rsidRPr="000C50CC">
        <w:rPr>
          <w:rFonts w:ascii="Cambria" w:hAnsi="Cambria"/>
          <w:b/>
          <w:bCs/>
          <w:sz w:val="24"/>
          <w:szCs w:val="24"/>
          <w:u w:val="single"/>
        </w:rPr>
        <w:t xml:space="preserve">Liabilities </w:t>
      </w:r>
    </w:p>
    <w:p w14:paraId="2DB99518" w14:textId="0B9334A1" w:rsidR="00916D95" w:rsidRPr="000C50CC" w:rsidRDefault="00916D95" w:rsidP="00B0403B">
      <w:pPr>
        <w:pStyle w:val="CambriaNormal"/>
        <w:spacing w:before="0" w:line="276" w:lineRule="auto"/>
      </w:pPr>
      <w:r w:rsidRPr="000C50CC">
        <w:t xml:space="preserve">Liabilities are amounts owed by PCLOB for goods and services provided but not yet paid—specifically, monies owed to the public and other federal agencies. </w:t>
      </w:r>
      <w:r>
        <w:t xml:space="preserve">Liabilities are </w:t>
      </w:r>
      <w:r w:rsidRPr="00222F0A">
        <w:t xml:space="preserve">reported in three categories on the Balance Sheet, as depicted in </w:t>
      </w:r>
      <w:r>
        <w:t xml:space="preserve">Figure </w:t>
      </w:r>
      <w:r w:rsidR="00AA69CE">
        <w:t>4</w:t>
      </w:r>
      <w:r>
        <w:t xml:space="preserve">, </w:t>
      </w:r>
      <w:r w:rsidRPr="00AD7A93">
        <w:rPr>
          <w:i/>
          <w:iCs/>
        </w:rPr>
        <w:t>PCLOB</w:t>
      </w:r>
      <w:r w:rsidRPr="00222F0A">
        <w:t xml:space="preserve"> </w:t>
      </w:r>
      <w:r>
        <w:rPr>
          <w:i/>
          <w:iCs/>
        </w:rPr>
        <w:t>Liabilities by Type</w:t>
      </w:r>
      <w:r w:rsidRPr="00222F0A">
        <w:rPr>
          <w:i/>
          <w:iCs/>
        </w:rPr>
        <w:t xml:space="preserve">, </w:t>
      </w:r>
      <w:r>
        <w:rPr>
          <w:i/>
          <w:iCs/>
        </w:rPr>
        <w:t>September 30, 2025</w:t>
      </w:r>
      <w:r w:rsidR="001D055C" w:rsidRPr="00AC59B8">
        <w:t>:</w:t>
      </w:r>
      <w:r w:rsidR="001D055C">
        <w:t xml:space="preserve"> Accounts Payable</w:t>
      </w:r>
      <w:r w:rsidR="00183DE1">
        <w:t>;</w:t>
      </w:r>
      <w:r w:rsidR="001D055C">
        <w:t xml:space="preserve"> </w:t>
      </w:r>
      <w:r w:rsidR="00871B02">
        <w:t xml:space="preserve">Employee-Related Liabilities (i.e., </w:t>
      </w:r>
      <w:r w:rsidR="001D055C" w:rsidRPr="001D055C">
        <w:t>Federal Employee Salary, Leave, and Benefits Payable</w:t>
      </w:r>
      <w:r w:rsidR="00461981">
        <w:t>)</w:t>
      </w:r>
      <w:r w:rsidR="001D055C">
        <w:t>, and Other Liabilities</w:t>
      </w:r>
      <w:r w:rsidR="00461981">
        <w:t>.</w:t>
      </w:r>
      <w:r w:rsidRPr="00222F0A">
        <w:t xml:space="preserve"> </w:t>
      </w:r>
      <w:r w:rsidR="00C8369A">
        <w:t xml:space="preserve">The balances for </w:t>
      </w:r>
      <w:proofErr w:type="gramStart"/>
      <w:r w:rsidR="00C8369A">
        <w:t>all of</w:t>
      </w:r>
      <w:proofErr w:type="gramEnd"/>
      <w:r w:rsidR="00C8369A">
        <w:t xml:space="preserve"> PCLOB’s liabilities categories increased from FY 2024 to FY 2025. </w:t>
      </w:r>
      <w:r w:rsidR="00713270">
        <w:t>Total A</w:t>
      </w:r>
      <w:r w:rsidR="001D055C">
        <w:t xml:space="preserve">ccounts Payable </w:t>
      </w:r>
      <w:r w:rsidR="00C8369A">
        <w:t xml:space="preserve">increased approximately $28 thousand (9%), </w:t>
      </w:r>
      <w:r w:rsidR="00183DE1">
        <w:t xml:space="preserve">up </w:t>
      </w:r>
      <w:r w:rsidR="00C8369A">
        <w:t xml:space="preserve">from </w:t>
      </w:r>
      <w:r w:rsidR="001D055C">
        <w:t>approximately $3</w:t>
      </w:r>
      <w:r w:rsidR="00C8369A">
        <w:t>00</w:t>
      </w:r>
      <w:r w:rsidR="001D055C">
        <w:t xml:space="preserve"> thousand as of September 30, 202</w:t>
      </w:r>
      <w:r w:rsidR="00C8369A">
        <w:t>4, to approximately $328 thousand as of September 30, 2025</w:t>
      </w:r>
      <w:r w:rsidR="001D055C">
        <w:t>, related to amounts owed to vendors, trading partners, and other stakeholders for unbilled or unpaid goods and services delivered during normal operations</w:t>
      </w:r>
      <w:r w:rsidR="00871B02">
        <w:t>.</w:t>
      </w:r>
      <w:r w:rsidR="001D055C">
        <w:t xml:space="preserve"> </w:t>
      </w:r>
      <w:r w:rsidR="001D055C" w:rsidRPr="001D055C">
        <w:t>Employee</w:t>
      </w:r>
      <w:r w:rsidR="00871B02">
        <w:t>-Related Liabilities</w:t>
      </w:r>
      <w:r w:rsidR="001D055C">
        <w:t xml:space="preserve"> </w:t>
      </w:r>
      <w:r w:rsidR="00C8369A">
        <w:t>increased approximately $100 thousand (20%)</w:t>
      </w:r>
      <w:r w:rsidR="00183DE1">
        <w:t>, up</w:t>
      </w:r>
      <w:r w:rsidR="00C8369A">
        <w:t xml:space="preserve"> from approximately $500 thousand</w:t>
      </w:r>
      <w:r w:rsidR="00DB573E">
        <w:t xml:space="preserve"> as of September 30, 2024, to </w:t>
      </w:r>
      <w:r w:rsidR="001C3FB0">
        <w:t xml:space="preserve">approximately </w:t>
      </w:r>
      <w:r w:rsidR="001D055C">
        <w:t>$</w:t>
      </w:r>
      <w:r w:rsidR="00DB573E">
        <w:t>600</w:t>
      </w:r>
      <w:r w:rsidR="001D055C">
        <w:t xml:space="preserve"> thousand</w:t>
      </w:r>
      <w:r w:rsidR="006E53C9">
        <w:t xml:space="preserve"> </w:t>
      </w:r>
      <w:r w:rsidR="001D055C">
        <w:t>as of September 30, 2025</w:t>
      </w:r>
      <w:r w:rsidR="00DB573E">
        <w:t xml:space="preserve">. This increase is associated with higher-than-usual </w:t>
      </w:r>
      <w:r w:rsidR="001D055C">
        <w:t>accrued, unfunded leave balances</w:t>
      </w:r>
      <w:r w:rsidR="00DB573E">
        <w:t xml:space="preserve"> for employees</w:t>
      </w:r>
      <w:r w:rsidR="006E53C9">
        <w:t xml:space="preserve">. </w:t>
      </w:r>
      <w:r w:rsidR="0054486F">
        <w:t xml:space="preserve">Lastly, </w:t>
      </w:r>
      <w:r w:rsidR="00713270">
        <w:t>total O</w:t>
      </w:r>
      <w:r w:rsidR="006E53C9">
        <w:t xml:space="preserve">ther </w:t>
      </w:r>
      <w:r w:rsidR="00713270">
        <w:t>L</w:t>
      </w:r>
      <w:r w:rsidR="006E53C9">
        <w:t xml:space="preserve">iabilities </w:t>
      </w:r>
      <w:r w:rsidR="0054486F">
        <w:t xml:space="preserve">saw an increase of approximately $95 thousand (266%), </w:t>
      </w:r>
      <w:r w:rsidR="00183DE1">
        <w:t xml:space="preserve">up </w:t>
      </w:r>
      <w:r w:rsidR="0054486F">
        <w:t>from approximately $35 thousand as of September 30, 2024</w:t>
      </w:r>
      <w:r w:rsidR="00D44F78">
        <w:t>,</w:t>
      </w:r>
      <w:r w:rsidR="0054486F">
        <w:t xml:space="preserve"> to </w:t>
      </w:r>
      <w:r w:rsidR="00883ED5">
        <w:t>approximately $130 thousand</w:t>
      </w:r>
      <w:r w:rsidR="0054486F">
        <w:t xml:space="preserve"> as of September 20, 2025, </w:t>
      </w:r>
      <w:bookmarkStart w:id="57" w:name="_Hlk212208509"/>
      <w:r w:rsidR="0054486F">
        <w:t xml:space="preserve">mostly </w:t>
      </w:r>
      <w:r w:rsidR="00883ED5">
        <w:t xml:space="preserve">related to </w:t>
      </w:r>
      <w:r w:rsidR="00183DE1">
        <w:t xml:space="preserve">an increase in </w:t>
      </w:r>
      <w:r w:rsidR="0054486F">
        <w:t xml:space="preserve">contingent </w:t>
      </w:r>
      <w:r w:rsidR="00883ED5">
        <w:t xml:space="preserve">liabilities </w:t>
      </w:r>
      <w:r w:rsidR="0054486F">
        <w:t>of $86 thousand</w:t>
      </w:r>
      <w:r w:rsidR="00883ED5">
        <w:t>.</w:t>
      </w:r>
      <w:bookmarkEnd w:id="57"/>
    </w:p>
    <w:p w14:paraId="43997C55" w14:textId="7F8CDDB9" w:rsidR="00916D95" w:rsidRPr="00C1647A" w:rsidRDefault="00916D95" w:rsidP="00916D95">
      <w:pPr>
        <w:pStyle w:val="CambriaNormal"/>
        <w:spacing w:line="276" w:lineRule="auto"/>
        <w:rPr>
          <w:b/>
          <w:bCs/>
          <w:u w:val="single"/>
        </w:rPr>
      </w:pPr>
      <w:r w:rsidRPr="00C1647A">
        <w:rPr>
          <w:b/>
          <w:bCs/>
          <w:u w:val="single"/>
        </w:rPr>
        <w:t>Net Position</w:t>
      </w:r>
    </w:p>
    <w:p w14:paraId="7EF72226" w14:textId="087FC330" w:rsidR="00A406B7" w:rsidRPr="007A7C6B" w:rsidRDefault="00916D95" w:rsidP="00A61605">
      <w:pPr>
        <w:pStyle w:val="CambriaNormal"/>
        <w:spacing w:line="276" w:lineRule="auto"/>
      </w:pPr>
      <w:r>
        <w:t xml:space="preserve">PCLOB’s net position, </w:t>
      </w:r>
      <w:r w:rsidRPr="000C50CC">
        <w:t>compris</w:t>
      </w:r>
      <w:r w:rsidR="00A31319">
        <w:t>ing</w:t>
      </w:r>
      <w:r w:rsidRPr="000C50CC">
        <w:t xml:space="preserve"> unexpended appropriations and cumulative results of operations</w:t>
      </w:r>
      <w:r>
        <w:t xml:space="preserve">, appears on the Balance Sheet and the Statement of Changes in Net Position. </w:t>
      </w:r>
      <w:r w:rsidR="00A61605" w:rsidRPr="00A61605">
        <w:t xml:space="preserve">Funds made available by Congress </w:t>
      </w:r>
      <w:r w:rsidR="00073361">
        <w:t xml:space="preserve">in FY 2025 </w:t>
      </w:r>
      <w:r w:rsidR="00A31319">
        <w:t>in the amount of</w:t>
      </w:r>
      <w:r w:rsidR="00073361">
        <w:t xml:space="preserve"> $13.7 million we</w:t>
      </w:r>
      <w:r w:rsidR="00A61605" w:rsidRPr="00A61605">
        <w:t xml:space="preserve">re recorded in Unexpended Appropriations. </w:t>
      </w:r>
      <w:r w:rsidR="00A61605">
        <w:t xml:space="preserve">See the following section </w:t>
      </w:r>
      <w:r w:rsidR="00073361">
        <w:t>related to the Statement of Changes in Net Position for further analysis.</w:t>
      </w:r>
    </w:p>
    <w:p w14:paraId="77E8B69B" w14:textId="668C293A" w:rsidR="00916D95" w:rsidRPr="000C50CC" w:rsidRDefault="00916D95" w:rsidP="00B0403B">
      <w:pPr>
        <w:keepNext/>
        <w:keepLines/>
        <w:rPr>
          <w:rFonts w:ascii="Cambria" w:hAnsi="Cambria"/>
          <w:b/>
          <w:bCs/>
          <w:smallCaps/>
          <w:color w:val="002060"/>
          <w:sz w:val="28"/>
          <w:szCs w:val="28"/>
        </w:rPr>
      </w:pPr>
      <w:r w:rsidRPr="000C50CC">
        <w:rPr>
          <w:rFonts w:ascii="Cambria" w:hAnsi="Cambria"/>
          <w:b/>
          <w:bCs/>
          <w:smallCaps/>
          <w:color w:val="002060"/>
          <w:sz w:val="28"/>
          <w:szCs w:val="28"/>
        </w:rPr>
        <w:lastRenderedPageBreak/>
        <w:t>Statement of Net Cost</w:t>
      </w:r>
    </w:p>
    <w:p w14:paraId="35B262ED" w14:textId="7BEFE669" w:rsidR="00916D95" w:rsidRPr="00794E25" w:rsidRDefault="00916D95" w:rsidP="00B0403B">
      <w:pPr>
        <w:pStyle w:val="CambriaNormal"/>
        <w:keepNext/>
        <w:keepLines/>
        <w:spacing w:line="276" w:lineRule="auto"/>
      </w:pPr>
      <w:r w:rsidRPr="000C50CC">
        <w:t xml:space="preserve">The Statement of Net Cost </w:t>
      </w:r>
      <w:r w:rsidR="00324ED4">
        <w:t>highlights</w:t>
      </w:r>
      <w:r w:rsidR="00324ED4" w:rsidRPr="000C50CC">
        <w:t xml:space="preserve"> </w:t>
      </w:r>
      <w:r w:rsidRPr="000C50CC">
        <w:t xml:space="preserve">the agency’s net cost of operations for a given fiscal year. Net cost of operations is the difference </w:t>
      </w:r>
      <w:r>
        <w:t>between a program’s gross</w:t>
      </w:r>
      <w:r w:rsidRPr="000C50CC">
        <w:t xml:space="preserve"> cost </w:t>
      </w:r>
      <w:r>
        <w:t xml:space="preserve">and its related </w:t>
      </w:r>
      <w:r w:rsidRPr="000C50CC">
        <w:t>earned revenue</w:t>
      </w:r>
      <w:r>
        <w:t>s</w:t>
      </w:r>
      <w:r w:rsidRPr="000C50CC">
        <w:t xml:space="preserve">. </w:t>
      </w:r>
      <w:r w:rsidRPr="00794E25">
        <w:t xml:space="preserve">PCLOB’s earned revenues </w:t>
      </w:r>
      <w:r>
        <w:t xml:space="preserve">historically have </w:t>
      </w:r>
      <w:r w:rsidRPr="00794E25">
        <w:t>come from reimbursable agreements with other federal agencies for temporary detail assignments of PCLOB employees</w:t>
      </w:r>
      <w:r>
        <w:t>; however, in FY 2025, e</w:t>
      </w:r>
      <w:r w:rsidRPr="00794E25">
        <w:t>arned revenues were zero, since PCLOB did not detail any employees out to other federal agencies under reimbursable agreements</w:t>
      </w:r>
      <w:r w:rsidR="00461981">
        <w:t>.</w:t>
      </w:r>
      <w:r w:rsidRPr="00BD75A3">
        <w:rPr>
          <w:noProof/>
        </w:rPr>
        <w:t xml:space="preserve"> </w:t>
      </w:r>
      <w:r>
        <w:rPr>
          <w:noProof/>
        </w:rPr>
        <w:t>Since PCLOB had no earned revenue, gross and ne</w:t>
      </w:r>
      <w:r w:rsidR="0097424E">
        <w:rPr>
          <w:noProof/>
        </w:rPr>
        <w:t>t</w:t>
      </w:r>
      <w:r>
        <w:rPr>
          <w:noProof/>
        </w:rPr>
        <w:t xml:space="preserve"> program costs are the same and</w:t>
      </w:r>
      <w:r w:rsidR="00073361">
        <w:rPr>
          <w:noProof/>
        </w:rPr>
        <w:t xml:space="preserve"> </w:t>
      </w:r>
      <w:r w:rsidR="0097424E">
        <w:rPr>
          <w:noProof/>
        </w:rPr>
        <w:t>can be</w:t>
      </w:r>
      <w:r>
        <w:rPr>
          <w:noProof/>
        </w:rPr>
        <w:t xml:space="preserve"> referred to as “total” program costs</w:t>
      </w:r>
      <w:r w:rsidR="00073361">
        <w:rPr>
          <w:noProof/>
        </w:rPr>
        <w:t xml:space="preserve"> on </w:t>
      </w:r>
      <w:r>
        <w:rPr>
          <w:noProof/>
        </w:rPr>
        <w:t xml:space="preserve">PCLOB’s Statement of Net Cost. </w:t>
      </w:r>
    </w:p>
    <w:p w14:paraId="1789F970" w14:textId="0FF6F880" w:rsidR="00916D95" w:rsidRDefault="00916D95" w:rsidP="00916D95">
      <w:pPr>
        <w:pStyle w:val="CambriaNormal"/>
        <w:spacing w:line="276" w:lineRule="auto"/>
        <w:rPr>
          <w:i/>
          <w:iCs/>
        </w:rPr>
      </w:pPr>
      <w:r>
        <w:t xml:space="preserve">PCLOB is an independent </w:t>
      </w:r>
      <w:r w:rsidR="00A31319">
        <w:t>agency within the</w:t>
      </w:r>
      <w:r>
        <w:t xml:space="preserve"> executive branch, operating as a single entity (meaning, it does not combine with any other entities and does not have any components which would be consolidated).</w:t>
      </w:r>
      <w:r w:rsidR="009C1A14">
        <w:t xml:space="preserve"> </w:t>
      </w:r>
      <w:r w:rsidRPr="0040181F">
        <w:t>PCLOB</w:t>
      </w:r>
      <w:r w:rsidR="009C1A14">
        <w:t xml:space="preserve">’s </w:t>
      </w:r>
      <w:r>
        <w:t xml:space="preserve">two </w:t>
      </w:r>
      <w:r w:rsidRPr="0040181F">
        <w:t>programs</w:t>
      </w:r>
      <w:r w:rsidR="009C1A14">
        <w:t>,</w:t>
      </w:r>
      <w:r w:rsidRPr="0040181F">
        <w:t xml:space="preserve"> </w:t>
      </w:r>
      <w:r w:rsidR="009C1A14">
        <w:t>Mission Activities and Operational Activities, are</w:t>
      </w:r>
      <w:r w:rsidR="009C1A14" w:rsidRPr="0040181F">
        <w:t xml:space="preserve"> </w:t>
      </w:r>
      <w:r w:rsidR="00D864D5">
        <w:t xml:space="preserve">internally determined and </w:t>
      </w:r>
      <w:r w:rsidRPr="0040181F">
        <w:t xml:space="preserve">based on </w:t>
      </w:r>
      <w:r w:rsidR="00D864D5">
        <w:t xml:space="preserve">the </w:t>
      </w:r>
      <w:r w:rsidR="009C1A14">
        <w:t>agency</w:t>
      </w:r>
      <w:r w:rsidR="00D864D5">
        <w:t>’s</w:t>
      </w:r>
      <w:r w:rsidR="009C1A14" w:rsidRPr="0040181F">
        <w:t xml:space="preserve"> </w:t>
      </w:r>
      <w:r w:rsidRPr="0040181F">
        <w:t>strategic goals</w:t>
      </w:r>
      <w:r>
        <w:t xml:space="preserve">. Net cost by program </w:t>
      </w:r>
      <w:proofErr w:type="gramStart"/>
      <w:r>
        <w:t>are</w:t>
      </w:r>
      <w:proofErr w:type="gramEnd"/>
      <w:r>
        <w:t xml:space="preserve"> depicted in Table 2, </w:t>
      </w:r>
      <w:r w:rsidRPr="00AD7A93">
        <w:rPr>
          <w:i/>
          <w:iCs/>
        </w:rPr>
        <w:t>Summary Table:</w:t>
      </w:r>
      <w:r>
        <w:t xml:space="preserve"> </w:t>
      </w:r>
      <w:r>
        <w:rPr>
          <w:i/>
          <w:iCs/>
        </w:rPr>
        <w:t xml:space="preserve">Statement of Net Cost. </w:t>
      </w:r>
    </w:p>
    <w:p w14:paraId="23330146" w14:textId="190CF0BD" w:rsidR="00916D95" w:rsidRDefault="00461981" w:rsidP="00916D95">
      <w:pPr>
        <w:pStyle w:val="CambriaNormal"/>
        <w:spacing w:line="276" w:lineRule="auto"/>
      </w:pPr>
      <w:r w:rsidRPr="009175B6">
        <w:rPr>
          <w:noProof/>
        </w:rPr>
        <w:drawing>
          <wp:anchor distT="0" distB="0" distL="114300" distR="114300" simplePos="0" relativeHeight="252157440" behindDoc="0" locked="0" layoutInCell="1" allowOverlap="1" wp14:anchorId="1E10820B" wp14:editId="3F8DFFEE">
            <wp:simplePos x="0" y="0"/>
            <wp:positionH relativeFrom="column">
              <wp:posOffset>5715</wp:posOffset>
            </wp:positionH>
            <wp:positionV relativeFrom="paragraph">
              <wp:posOffset>138430</wp:posOffset>
            </wp:positionV>
            <wp:extent cx="2865120" cy="1842770"/>
            <wp:effectExtent l="19050" t="19050" r="11430" b="24130"/>
            <wp:wrapSquare wrapText="bothSides"/>
            <wp:docPr id="22116250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62508" name="Picture 7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865120" cy="18427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916D95">
        <w:t xml:space="preserve">Mission activities program costs of </w:t>
      </w:r>
      <w:r w:rsidR="00916D95" w:rsidRPr="00223252">
        <w:t>approximately $</w:t>
      </w:r>
      <w:r w:rsidR="00223252" w:rsidRPr="00B0403B">
        <w:t>6.4</w:t>
      </w:r>
      <w:r w:rsidR="00916D95" w:rsidRPr="00B0403B">
        <w:t xml:space="preserve"> million</w:t>
      </w:r>
      <w:r w:rsidR="00916D95" w:rsidRPr="00223252">
        <w:t xml:space="preserve"> in FY 2025 consi</w:t>
      </w:r>
      <w:r w:rsidR="00916D95">
        <w:t xml:space="preserve">sted of salaries and related benefits expenses for Board Members, counselors, and mission staff as well as other costs associated specifically with the mission such as training, travel, and professional certifications. Operational activities </w:t>
      </w:r>
      <w:r w:rsidR="00916D95" w:rsidRPr="00D12289">
        <w:t>program costs</w:t>
      </w:r>
      <w:r w:rsidR="00916D95">
        <w:t xml:space="preserve"> of </w:t>
      </w:r>
      <w:r w:rsidR="00916D95" w:rsidRPr="00223252">
        <w:t xml:space="preserve">approximately </w:t>
      </w:r>
      <w:r w:rsidR="00916D95" w:rsidRPr="00B0403B">
        <w:t>$</w:t>
      </w:r>
      <w:r w:rsidR="00223252" w:rsidRPr="00B0403B">
        <w:t>8</w:t>
      </w:r>
      <w:r w:rsidR="00916D95" w:rsidRPr="00B0403B">
        <w:t xml:space="preserve"> million</w:t>
      </w:r>
      <w:r w:rsidR="00916D95">
        <w:t xml:space="preserve"> </w:t>
      </w:r>
      <w:r w:rsidR="00916D95" w:rsidRPr="001B3432">
        <w:t xml:space="preserve">in FY </w:t>
      </w:r>
      <w:r w:rsidR="00916D95">
        <w:t xml:space="preserve">2025 included </w:t>
      </w:r>
      <w:r w:rsidR="00916D95" w:rsidRPr="00D12289">
        <w:t>salaries and related benefits expenses for</w:t>
      </w:r>
      <w:r w:rsidR="00916D95">
        <w:t xml:space="preserve"> all operational staff as well as other overhead costs such as </w:t>
      </w:r>
      <w:r w:rsidR="00A31319">
        <w:t>advisory and assistance services (</w:t>
      </w:r>
      <w:r w:rsidR="0097424E">
        <w:t xml:space="preserve">e.g., </w:t>
      </w:r>
      <w:r w:rsidR="00916D95">
        <w:t>shared service</w:t>
      </w:r>
      <w:r w:rsidR="00A31319">
        <w:t>s</w:t>
      </w:r>
      <w:r w:rsidR="00D577A7">
        <w:t xml:space="preserve"> and</w:t>
      </w:r>
      <w:r w:rsidR="00A31319">
        <w:t xml:space="preserve"> </w:t>
      </w:r>
      <w:r w:rsidR="00916D95">
        <w:t xml:space="preserve"> systems maintenance</w:t>
      </w:r>
      <w:r w:rsidR="00A31319">
        <w:t>)</w:t>
      </w:r>
      <w:r w:rsidR="00D577A7">
        <w:t>;</w:t>
      </w:r>
      <w:r w:rsidR="00916D95">
        <w:t xml:space="preserve"> </w:t>
      </w:r>
      <w:r w:rsidR="00D577A7">
        <w:t>office rent;</w:t>
      </w:r>
      <w:r w:rsidR="00916D95">
        <w:t xml:space="preserve"> and </w:t>
      </w:r>
      <w:r w:rsidR="00D577A7">
        <w:t xml:space="preserve">supplies and equipment. </w:t>
      </w:r>
      <w:r w:rsidR="00916D95">
        <w:t xml:space="preserve">Expenses associated with general counsel and legislative and public affairs (e.g., salaries and benefits, subscriptions, </w:t>
      </w:r>
      <w:r w:rsidR="00D577A7">
        <w:t xml:space="preserve">and </w:t>
      </w:r>
      <w:r w:rsidR="00916D95">
        <w:t xml:space="preserve">certain services) of </w:t>
      </w:r>
      <w:r w:rsidR="00916D95" w:rsidRPr="00223252">
        <w:t xml:space="preserve">approximately </w:t>
      </w:r>
      <w:r w:rsidR="00916D95" w:rsidRPr="00B0403B">
        <w:t>$1.</w:t>
      </w:r>
      <w:r w:rsidR="00223252" w:rsidRPr="00B0403B">
        <w:t>7</w:t>
      </w:r>
      <w:r w:rsidR="00916D95" w:rsidRPr="00B0403B">
        <w:t xml:space="preserve"> million</w:t>
      </w:r>
      <w:r w:rsidR="00916D95">
        <w:t xml:space="preserve"> in FY 2025 were allocated between mission and operational activities programs as </w:t>
      </w:r>
      <w:r w:rsidR="00916D95" w:rsidRPr="00BD75A3">
        <w:t>these activities</w:t>
      </w:r>
      <w:r w:rsidR="00916D95">
        <w:t xml:space="preserve"> </w:t>
      </w:r>
      <w:r w:rsidR="00D577A7">
        <w:t xml:space="preserve">benefit </w:t>
      </w:r>
      <w:r w:rsidR="00916D95">
        <w:t xml:space="preserve">the </w:t>
      </w:r>
      <w:proofErr w:type="gramStart"/>
      <w:r w:rsidR="00916D95">
        <w:t>agency as a whole</w:t>
      </w:r>
      <w:proofErr w:type="gramEnd"/>
      <w:r w:rsidR="00916D95">
        <w:t>.</w:t>
      </w:r>
    </w:p>
    <w:p w14:paraId="31014DFD" w14:textId="38418853" w:rsidR="00FE6B65" w:rsidRPr="00BF6AD8" w:rsidRDefault="00FE6B65" w:rsidP="00916D95">
      <w:pPr>
        <w:pStyle w:val="CambriaNormal"/>
        <w:spacing w:line="276" w:lineRule="auto"/>
      </w:pPr>
      <w:r>
        <w:t xml:space="preserve">PCLOB’s total net cost of operations increased </w:t>
      </w:r>
      <w:r w:rsidRPr="00AA5E0D">
        <w:t>approximately $</w:t>
      </w:r>
      <w:r w:rsidRPr="00B25ECD">
        <w:t>2</w:t>
      </w:r>
      <w:r w:rsidR="00543A91">
        <w:t>.1</w:t>
      </w:r>
      <w:r w:rsidRPr="00B25ECD">
        <w:t xml:space="preserve"> million (17%), </w:t>
      </w:r>
      <w:r w:rsidR="00D577A7">
        <w:t xml:space="preserve">up </w:t>
      </w:r>
      <w:r w:rsidRPr="00B25ECD">
        <w:t>from approximately $12.3 million in FY 2024 to</w:t>
      </w:r>
      <w:r w:rsidRPr="00FE6B65">
        <w:t xml:space="preserve"> </w:t>
      </w:r>
      <w:r w:rsidRPr="00AA5E0D">
        <w:t>approximately $14.</w:t>
      </w:r>
      <w:r w:rsidR="00543A91">
        <w:t>4</w:t>
      </w:r>
      <w:r w:rsidRPr="00AA5E0D">
        <w:t xml:space="preserve"> million in FY 2025</w:t>
      </w:r>
      <w:r w:rsidRPr="00B25ECD">
        <w:t>.</w:t>
      </w:r>
      <w:r>
        <w:t xml:space="preserve"> Most of the total increase in FY 2025 was directly related to salary and benefits expenses for additional mission staff hired in late FY 2024 and early FY 2025. Slight increases in office rent, shared service provider fees, and system maintenance costs also contributed to the overall increase in FY 2025 costs.</w:t>
      </w:r>
    </w:p>
    <w:p w14:paraId="1D4D17A4" w14:textId="07B92C6B" w:rsidR="00C33ADF" w:rsidRPr="000C50CC" w:rsidRDefault="00C33ADF" w:rsidP="00C33ADF">
      <w:pPr>
        <w:pStyle w:val="CambriaNormal"/>
        <w:spacing w:line="276" w:lineRule="auto"/>
      </w:pPr>
      <w:r>
        <w:rPr>
          <w:noProof/>
        </w:rPr>
        <w:lastRenderedPageBreak/>
        <w:drawing>
          <wp:anchor distT="0" distB="91440" distL="114300" distR="114300" simplePos="0" relativeHeight="252077568" behindDoc="0" locked="0" layoutInCell="1" allowOverlap="1" wp14:anchorId="02DBECAE" wp14:editId="1BDE9229">
            <wp:simplePos x="0" y="0"/>
            <wp:positionH relativeFrom="page">
              <wp:posOffset>3542030</wp:posOffset>
            </wp:positionH>
            <wp:positionV relativeFrom="page">
              <wp:posOffset>1226820</wp:posOffset>
            </wp:positionV>
            <wp:extent cx="3290570" cy="2970530"/>
            <wp:effectExtent l="57150" t="57150" r="100330" b="96520"/>
            <wp:wrapSquare wrapText="bothSides"/>
            <wp:docPr id="260465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65091" name="Picture 1"/>
                    <pic:cNvPicPr/>
                  </pic:nvPicPr>
                  <pic:blipFill rotWithShape="1">
                    <a:blip r:embed="rId45">
                      <a:extLst>
                        <a:ext uri="{28A0092B-C50C-407E-A947-70E740481C1C}">
                          <a14:useLocalDpi xmlns:a14="http://schemas.microsoft.com/office/drawing/2010/main" val="0"/>
                        </a:ext>
                      </a:extLst>
                    </a:blip>
                    <a:srcRect l="1453" r="1453" b="2804"/>
                    <a:stretch>
                      <a:fillRect/>
                    </a:stretch>
                  </pic:blipFill>
                  <pic:spPr bwMode="auto">
                    <a:xfrm>
                      <a:off x="0" y="0"/>
                      <a:ext cx="3290570" cy="29705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r w:rsidR="00AA69CE">
        <w:t>5</w:t>
      </w:r>
      <w:r>
        <w:t xml:space="preserve">, </w:t>
      </w:r>
      <w:r>
        <w:rPr>
          <w:i/>
          <w:iCs/>
        </w:rPr>
        <w:t>PCLOB FY 2025 Expenses By Type</w:t>
      </w:r>
      <w:r w:rsidRPr="00AC59B8">
        <w:t>,</w:t>
      </w:r>
      <w:r>
        <w:rPr>
          <w:noProof/>
        </w:rPr>
        <w:t xml:space="preserve"> depicts PCLOB’s</w:t>
      </w:r>
      <w:r>
        <w:t xml:space="preserve"> major expense categories, with salaries and benefits</w:t>
      </w:r>
      <w:r w:rsidR="00B0403B">
        <w:t xml:space="preserve"> of approximately $9 million </w:t>
      </w:r>
      <w:r w:rsidR="003B1D3B">
        <w:t>(63%)</w:t>
      </w:r>
      <w:r w:rsidR="0010331E">
        <w:t>;</w:t>
      </w:r>
      <w:r w:rsidR="00543A91">
        <w:t xml:space="preserve"> advisory and assistance services of approximately </w:t>
      </w:r>
      <w:r w:rsidR="0010331E">
        <w:t>$2.2 million (16%);</w:t>
      </w:r>
      <w:r>
        <w:t xml:space="preserve"> and rent </w:t>
      </w:r>
      <w:r w:rsidR="00B0403B">
        <w:t xml:space="preserve">of approximately $1 million </w:t>
      </w:r>
      <w:r w:rsidR="003B1D3B">
        <w:t>(7%)</w:t>
      </w:r>
      <w:r w:rsidRPr="00D458BC">
        <w:t xml:space="preserve"> </w:t>
      </w:r>
      <w:r>
        <w:t xml:space="preserve">accounting for </w:t>
      </w:r>
      <w:r w:rsidR="003B1D3B">
        <w:t>the</w:t>
      </w:r>
      <w:r>
        <w:t xml:space="preserve"> agency’s </w:t>
      </w:r>
      <w:r w:rsidR="003B1D3B">
        <w:t xml:space="preserve">most significant </w:t>
      </w:r>
      <w:r>
        <w:t>expenses.</w:t>
      </w:r>
      <w:r w:rsidR="003B1D3B">
        <w:t xml:space="preserve"> </w:t>
      </w:r>
      <w:r w:rsidR="00B0403B">
        <w:t xml:space="preserve"> </w:t>
      </w:r>
    </w:p>
    <w:p w14:paraId="554A1D04" w14:textId="2A945432" w:rsidR="00916D95" w:rsidRPr="000C50CC" w:rsidRDefault="00916D95" w:rsidP="00916D95">
      <w:pPr>
        <w:pStyle w:val="CambriaNormal"/>
        <w:pBdr>
          <w:bottom w:val="single" w:sz="4" w:space="1" w:color="auto"/>
        </w:pBdr>
        <w:spacing w:line="240" w:lineRule="auto"/>
        <w:rPr>
          <w:b/>
          <w:bCs/>
          <w:smallCaps/>
          <w:color w:val="002060"/>
          <w:sz w:val="28"/>
          <w:szCs w:val="28"/>
        </w:rPr>
      </w:pPr>
      <w:r w:rsidRPr="000C50CC">
        <w:rPr>
          <w:b/>
          <w:bCs/>
          <w:smallCaps/>
          <w:color w:val="002060"/>
          <w:sz w:val="28"/>
          <w:szCs w:val="28"/>
        </w:rPr>
        <w:t xml:space="preserve">Statement of Changes in Net Position </w:t>
      </w:r>
    </w:p>
    <w:p w14:paraId="1A741384" w14:textId="1F2FEC28" w:rsidR="00A61605" w:rsidRDefault="00FE6B65" w:rsidP="00A61605">
      <w:pPr>
        <w:pStyle w:val="CambriaNormal"/>
        <w:spacing w:line="276" w:lineRule="auto"/>
      </w:pPr>
      <w:r>
        <w:rPr>
          <w:noProof/>
        </w:rPr>
        <w:drawing>
          <wp:anchor distT="0" distB="0" distL="114300" distR="114300" simplePos="0" relativeHeight="252158464" behindDoc="0" locked="0" layoutInCell="1" allowOverlap="1" wp14:anchorId="679B01DB" wp14:editId="2AF49F52">
            <wp:simplePos x="0" y="0"/>
            <wp:positionH relativeFrom="column">
              <wp:posOffset>-3810</wp:posOffset>
            </wp:positionH>
            <wp:positionV relativeFrom="paragraph">
              <wp:posOffset>2090832</wp:posOffset>
            </wp:positionV>
            <wp:extent cx="4049395" cy="2944495"/>
            <wp:effectExtent l="57150" t="57150" r="103505" b="103505"/>
            <wp:wrapSquare wrapText="bothSides"/>
            <wp:docPr id="177169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9374"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4049395" cy="294449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16D95" w:rsidRPr="000C50CC">
        <w:t>The Statement of Changes in Net Position identif</w:t>
      </w:r>
      <w:r w:rsidR="00631C31">
        <w:t>ies</w:t>
      </w:r>
      <w:r w:rsidR="00916D95" w:rsidRPr="000C50CC">
        <w:t xml:space="preserve"> the difference</w:t>
      </w:r>
      <w:r w:rsidR="00916D95">
        <w:t>s</w:t>
      </w:r>
      <w:r w:rsidR="00916D95" w:rsidRPr="000C50CC">
        <w:t xml:space="preserve"> between all financing sources available to and used by </w:t>
      </w:r>
      <w:r w:rsidR="00916D95">
        <w:t>PCLOB</w:t>
      </w:r>
      <w:r w:rsidR="00916D95" w:rsidRPr="000C50CC">
        <w:t xml:space="preserve"> to support its net cost of operations. Increases or decreases in an </w:t>
      </w:r>
      <w:r w:rsidR="00916D95">
        <w:t>agency’s</w:t>
      </w:r>
      <w:r w:rsidR="00916D95" w:rsidRPr="000C50CC">
        <w:t xml:space="preserve"> net financial position </w:t>
      </w:r>
      <w:r w:rsidR="00916D95">
        <w:t>are</w:t>
      </w:r>
      <w:r w:rsidR="00916D95" w:rsidRPr="000C50CC">
        <w:t xml:space="preserve"> the sum of two components: unexpended appropriations and cumulative results of operations. Each component is displayed separately to facilitate </w:t>
      </w:r>
      <w:r w:rsidR="00916D95">
        <w:t xml:space="preserve">a </w:t>
      </w:r>
      <w:r w:rsidR="00916D95" w:rsidRPr="000C50CC">
        <w:t xml:space="preserve">more detailed understanding of the changes in net </w:t>
      </w:r>
      <w:proofErr w:type="gramStart"/>
      <w:r w:rsidR="00916D95" w:rsidRPr="000C50CC">
        <w:t>position as a whole</w:t>
      </w:r>
      <w:proofErr w:type="gramEnd"/>
      <w:r w:rsidR="00916D95" w:rsidRPr="000C50CC">
        <w:t>.</w:t>
      </w:r>
      <w:r w:rsidR="00A61605">
        <w:t xml:space="preserve"> </w:t>
      </w:r>
      <w:r w:rsidR="00E84750">
        <w:t xml:space="preserve">As seen </w:t>
      </w:r>
      <w:r w:rsidR="00E84750" w:rsidRPr="00E479BB">
        <w:t xml:space="preserve">in Table 3, </w:t>
      </w:r>
      <w:r w:rsidR="00E84750" w:rsidRPr="00E479BB">
        <w:rPr>
          <w:i/>
          <w:iCs/>
        </w:rPr>
        <w:t>Summary Table: Statement of Changes in Net Position</w:t>
      </w:r>
      <w:r w:rsidR="00E84750" w:rsidRPr="00AC59B8">
        <w:t>,</w:t>
      </w:r>
      <w:r w:rsidR="00E84750">
        <w:rPr>
          <w:i/>
          <w:iCs/>
        </w:rPr>
        <w:t xml:space="preserve"> </w:t>
      </w:r>
      <w:r w:rsidR="00E84750">
        <w:t>t</w:t>
      </w:r>
      <w:r w:rsidR="00A61605">
        <w:t>he reported net position balance as of September 30, 2025</w:t>
      </w:r>
      <w:r w:rsidR="000B3158">
        <w:t>,</w:t>
      </w:r>
      <w:r w:rsidR="00A61605">
        <w:t xml:space="preserve"> was </w:t>
      </w:r>
      <w:r w:rsidR="00A61605" w:rsidRPr="00CC4CA9">
        <w:t xml:space="preserve">approximately </w:t>
      </w:r>
      <w:r w:rsidR="00A61605" w:rsidRPr="00B25ECD">
        <w:t>$5.7 million,</w:t>
      </w:r>
      <w:r w:rsidR="00A61605">
        <w:t xml:space="preserve"> which was a slight decrease of</w:t>
      </w:r>
      <w:r w:rsidR="00A61605" w:rsidRPr="007B3A84">
        <w:t xml:space="preserve"> </w:t>
      </w:r>
      <w:r w:rsidR="00A61605">
        <w:t xml:space="preserve">approximately </w:t>
      </w:r>
      <w:r w:rsidR="00A61605" w:rsidRPr="00B25ECD">
        <w:t>$</w:t>
      </w:r>
      <w:r w:rsidR="00A61605">
        <w:t>3</w:t>
      </w:r>
      <w:r w:rsidR="0010331E">
        <w:t>35</w:t>
      </w:r>
      <w:r w:rsidR="00A61605">
        <w:t xml:space="preserve"> thousand</w:t>
      </w:r>
      <w:r w:rsidR="00A61605" w:rsidRPr="00B25ECD">
        <w:t xml:space="preserve"> (or </w:t>
      </w:r>
      <w:r w:rsidR="00A61605">
        <w:t>6</w:t>
      </w:r>
      <w:r w:rsidR="00A61605" w:rsidRPr="00B25ECD">
        <w:t>%)</w:t>
      </w:r>
      <w:r w:rsidR="00A61605">
        <w:t xml:space="preserve"> from the $6 million net position balance as of September 30, 202</w:t>
      </w:r>
      <w:r>
        <w:t>4</w:t>
      </w:r>
      <w:r w:rsidR="00A61605">
        <w:t xml:space="preserve">. </w:t>
      </w:r>
      <w:r w:rsidR="00A61605" w:rsidRPr="00AD7A93">
        <w:t xml:space="preserve">The primary contributing factor to the </w:t>
      </w:r>
      <w:r w:rsidR="00A61605">
        <w:t>de</w:t>
      </w:r>
      <w:r w:rsidR="00A61605" w:rsidRPr="00AD7A93">
        <w:t>crease in PCLOB’s net position</w:t>
      </w:r>
      <w:r w:rsidR="00A61605">
        <w:t xml:space="preserve"> was </w:t>
      </w:r>
      <w:r w:rsidR="00A61605" w:rsidRPr="00AD7A93">
        <w:t>the agency’s</w:t>
      </w:r>
      <w:r w:rsidR="00A61605" w:rsidRPr="00AD7A93">
        <w:rPr>
          <w:rFonts w:ascii="Calibri" w:hAnsi="Calibri"/>
          <w:sz w:val="22"/>
          <w:szCs w:val="22"/>
        </w:rPr>
        <w:t xml:space="preserve"> </w:t>
      </w:r>
      <w:r w:rsidR="00A61605" w:rsidRPr="00B25ECD">
        <w:t>increase</w:t>
      </w:r>
      <w:r>
        <w:t>d</w:t>
      </w:r>
      <w:r w:rsidR="00A61605" w:rsidRPr="00AD7A93">
        <w:t xml:space="preserve"> </w:t>
      </w:r>
      <w:r>
        <w:t xml:space="preserve">net </w:t>
      </w:r>
      <w:r w:rsidR="00A61605" w:rsidRPr="00AD7A93">
        <w:t xml:space="preserve">cost </w:t>
      </w:r>
      <w:r>
        <w:t xml:space="preserve">of operations </w:t>
      </w:r>
      <w:r w:rsidR="00A61605" w:rsidRPr="00AD7A93">
        <w:t>(as seen on the Statements of Net Cost and Changes in Net Position)</w:t>
      </w:r>
      <w:r>
        <w:t>, which</w:t>
      </w:r>
      <w:r w:rsidR="00A61605" w:rsidRPr="00AD7A93">
        <w:t xml:space="preserve"> caused the cumulative results of operations </w:t>
      </w:r>
      <w:r w:rsidR="00A61605" w:rsidRPr="005856A5">
        <w:t xml:space="preserve">to </w:t>
      </w:r>
      <w:r w:rsidR="00A61605" w:rsidRPr="00B25ECD">
        <w:t>decrease</w:t>
      </w:r>
      <w:r w:rsidR="00A61605" w:rsidRPr="00AD7A93">
        <w:t>.</w:t>
      </w:r>
    </w:p>
    <w:p w14:paraId="4FF77F3D" w14:textId="77777777" w:rsidR="00FE6B65" w:rsidRDefault="00FE6B65">
      <w:pPr>
        <w:rPr>
          <w:rFonts w:ascii="Cambria" w:eastAsia="Calibri" w:hAnsi="Cambria" w:cs="Times New Roman"/>
          <w:sz w:val="24"/>
          <w:szCs w:val="24"/>
        </w:rPr>
      </w:pPr>
      <w:r>
        <w:br w:type="page"/>
      </w:r>
    </w:p>
    <w:p w14:paraId="52007685" w14:textId="4B4ABF9E" w:rsidR="00916D95" w:rsidRPr="000C50CC" w:rsidRDefault="00916D95" w:rsidP="00916D95">
      <w:pPr>
        <w:pStyle w:val="CambriaNormal"/>
        <w:pBdr>
          <w:bottom w:val="single" w:sz="4" w:space="1" w:color="auto"/>
        </w:pBdr>
        <w:spacing w:line="240" w:lineRule="auto"/>
        <w:rPr>
          <w:b/>
          <w:bCs/>
          <w:smallCaps/>
          <w:color w:val="002060"/>
          <w:sz w:val="28"/>
          <w:szCs w:val="28"/>
        </w:rPr>
      </w:pPr>
      <w:r w:rsidRPr="000C50CC">
        <w:rPr>
          <w:b/>
          <w:bCs/>
          <w:smallCaps/>
          <w:color w:val="002060"/>
          <w:sz w:val="28"/>
          <w:szCs w:val="28"/>
        </w:rPr>
        <w:lastRenderedPageBreak/>
        <w:t xml:space="preserve">Statement of Budgetary Resources </w:t>
      </w:r>
    </w:p>
    <w:p w14:paraId="76CFB5BD" w14:textId="0CA8CC80" w:rsidR="00916D95" w:rsidRDefault="00FA2D28" w:rsidP="00916D95">
      <w:pPr>
        <w:pStyle w:val="CambriaNormal"/>
        <w:spacing w:line="276" w:lineRule="auto"/>
      </w:pPr>
      <w:r w:rsidRPr="008E6CF3">
        <w:rPr>
          <w:noProof/>
        </w:rPr>
        <w:drawing>
          <wp:anchor distT="0" distB="0" distL="114300" distR="114300" simplePos="0" relativeHeight="252086784" behindDoc="0" locked="0" layoutInCell="1" allowOverlap="1" wp14:anchorId="49E4DE75" wp14:editId="650834BB">
            <wp:simplePos x="0" y="0"/>
            <wp:positionH relativeFrom="column">
              <wp:posOffset>2035810</wp:posOffset>
            </wp:positionH>
            <wp:positionV relativeFrom="paragraph">
              <wp:posOffset>1149985</wp:posOffset>
            </wp:positionV>
            <wp:extent cx="3916045" cy="2588260"/>
            <wp:effectExtent l="19050" t="19050" r="27305" b="21590"/>
            <wp:wrapSquare wrapText="bothSides"/>
            <wp:docPr id="97932830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28300" name="Picture 88"/>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916045" cy="25882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16D95" w:rsidRPr="00E81E3B">
        <w:t>PCLOB’s Statement of Budgetary Resources detail</w:t>
      </w:r>
      <w:r w:rsidR="00736411">
        <w:t>s</w:t>
      </w:r>
      <w:r w:rsidR="00916D95" w:rsidRPr="00E81E3B">
        <w:t xml:space="preserve"> how the agency obtained its budgetary resources and the status of these resources at its fiscal year</w:t>
      </w:r>
      <w:r w:rsidR="00916D95">
        <w:t>-</w:t>
      </w:r>
      <w:r w:rsidR="00916D95" w:rsidRPr="00E81E3B">
        <w:t xml:space="preserve">end. </w:t>
      </w:r>
      <w:r w:rsidR="00916D95" w:rsidRPr="000C50CC">
        <w:t xml:space="preserve">PCLOB’s total budgetary resources </w:t>
      </w:r>
      <w:r w:rsidR="00916D95" w:rsidRPr="00CB05A3">
        <w:t>consist</w:t>
      </w:r>
      <w:r>
        <w:t>ed</w:t>
      </w:r>
      <w:r w:rsidR="00916D95" w:rsidRPr="00CB05A3">
        <w:t xml:space="preserve"> of new budget authority, which for PCLOB’s </w:t>
      </w:r>
      <w:r>
        <w:t>FY 2025</w:t>
      </w:r>
      <w:r w:rsidR="00916D95" w:rsidRPr="00CB05A3">
        <w:t xml:space="preserve"> appropriation </w:t>
      </w:r>
      <w:r>
        <w:t>we</w:t>
      </w:r>
      <w:r w:rsidR="00916D95" w:rsidRPr="00CB05A3">
        <w:t>re available for obligation for two fiscal years</w:t>
      </w:r>
      <w:r w:rsidR="00916D95">
        <w:t xml:space="preserve">, </w:t>
      </w:r>
      <w:r w:rsidR="00916D95" w:rsidRPr="000C50CC">
        <w:t>and unobligated balances of budget authority provided in previous years</w:t>
      </w:r>
      <w:r w:rsidR="008E6CF3">
        <w:t xml:space="preserve"> carried forward</w:t>
      </w:r>
      <w:r w:rsidR="00916D95" w:rsidRPr="000C50CC">
        <w:t>. New obligations and upward adjustments result</w:t>
      </w:r>
      <w:r>
        <w:t>ed</w:t>
      </w:r>
      <w:r w:rsidR="00916D95" w:rsidRPr="000C50CC">
        <w:t xml:space="preserve"> from order</w:t>
      </w:r>
      <w:r w:rsidR="00916D95">
        <w:t>s</w:t>
      </w:r>
      <w:r w:rsidR="00916D95" w:rsidRPr="000C50CC">
        <w:t xml:space="preserve"> placed, contract</w:t>
      </w:r>
      <w:r w:rsidR="00916D95">
        <w:t>s</w:t>
      </w:r>
      <w:r w:rsidR="00916D95" w:rsidRPr="000C50CC">
        <w:t xml:space="preserve"> awarded, service</w:t>
      </w:r>
      <w:r w:rsidR="00916D95">
        <w:t>s</w:t>
      </w:r>
      <w:r w:rsidR="00916D95" w:rsidRPr="000C50CC">
        <w:t xml:space="preserve"> received, or similar transaction</w:t>
      </w:r>
      <w:r w:rsidR="00916D95">
        <w:t>s</w:t>
      </w:r>
      <w:r w:rsidR="00916D95" w:rsidRPr="000C50CC">
        <w:t xml:space="preserve"> which require payments during the same or future period</w:t>
      </w:r>
      <w:r w:rsidR="00916D95">
        <w:t>s</w:t>
      </w:r>
      <w:r w:rsidR="00916D95" w:rsidRPr="000C50CC">
        <w:t>. Net outlays reflect the actual cash disbursed by Treasury for PCLOB</w:t>
      </w:r>
      <w:r w:rsidR="009E7C1C">
        <w:t>’s</w:t>
      </w:r>
      <w:r w:rsidR="00916D95" w:rsidRPr="000C50CC">
        <w:t xml:space="preserve"> obligations net of offsetting collections. </w:t>
      </w:r>
    </w:p>
    <w:p w14:paraId="624FE8CD" w14:textId="3FA8DA06" w:rsidR="000B5149" w:rsidRDefault="00EC1625" w:rsidP="00B83A39">
      <w:pPr>
        <w:spacing w:before="240" w:line="276" w:lineRule="auto"/>
        <w:jc w:val="both"/>
        <w:rPr>
          <w:rFonts w:ascii="Cambria" w:eastAsia="Calibri" w:hAnsi="Cambria" w:cs="Times New Roman"/>
          <w:sz w:val="24"/>
          <w:szCs w:val="24"/>
        </w:rPr>
      </w:pPr>
      <w:r w:rsidRPr="004817F8">
        <w:rPr>
          <w:rFonts w:ascii="Cambria" w:hAnsi="Cambria"/>
          <w:sz w:val="24"/>
          <w:szCs w:val="24"/>
        </w:rPr>
        <w:t xml:space="preserve">As shown in Table 4, </w:t>
      </w:r>
      <w:r w:rsidRPr="004817F8">
        <w:rPr>
          <w:rFonts w:ascii="Cambria" w:hAnsi="Cambria"/>
          <w:i/>
          <w:iCs/>
          <w:sz w:val="24"/>
          <w:szCs w:val="24"/>
        </w:rPr>
        <w:t>Summary Table: Stat</w:t>
      </w:r>
      <w:r w:rsidR="00FA2D28">
        <w:rPr>
          <w:rFonts w:ascii="Cambria" w:hAnsi="Cambria"/>
          <w:i/>
          <w:iCs/>
          <w:sz w:val="24"/>
          <w:szCs w:val="24"/>
        </w:rPr>
        <w:t>ement</w:t>
      </w:r>
      <w:r w:rsidRPr="004817F8">
        <w:rPr>
          <w:rFonts w:ascii="Cambria" w:hAnsi="Cambria"/>
          <w:i/>
          <w:iCs/>
          <w:sz w:val="24"/>
          <w:szCs w:val="24"/>
        </w:rPr>
        <w:t xml:space="preserve"> of Budgetary Resources</w:t>
      </w:r>
      <w:r w:rsidRPr="00BE14D2">
        <w:rPr>
          <w:rFonts w:ascii="Cambria" w:hAnsi="Cambria"/>
          <w:noProof/>
          <w:sz w:val="24"/>
          <w:szCs w:val="24"/>
        </w:rPr>
        <w:t>,</w:t>
      </w:r>
      <w:r w:rsidRPr="004817F8">
        <w:rPr>
          <w:rFonts w:ascii="Cambria" w:hAnsi="Cambria"/>
          <w:noProof/>
          <w:sz w:val="24"/>
          <w:szCs w:val="24"/>
        </w:rPr>
        <w:t xml:space="preserve"> PCLOB’s</w:t>
      </w:r>
      <w:r w:rsidRPr="00BE14D2">
        <w:rPr>
          <w:noProof/>
          <w:sz w:val="24"/>
          <w:szCs w:val="24"/>
        </w:rPr>
        <w:t xml:space="preserve"> </w:t>
      </w:r>
      <w:r w:rsidRPr="004817F8">
        <w:rPr>
          <w:rFonts w:ascii="Cambria" w:hAnsi="Cambria"/>
          <w:sz w:val="24"/>
          <w:szCs w:val="24"/>
        </w:rPr>
        <w:t>t</w:t>
      </w:r>
      <w:r w:rsidR="00916D95" w:rsidRPr="004817F8">
        <w:rPr>
          <w:rFonts w:ascii="Cambria" w:hAnsi="Cambria"/>
          <w:sz w:val="24"/>
          <w:szCs w:val="24"/>
        </w:rPr>
        <w:t xml:space="preserve">otal budgetary resources were </w:t>
      </w:r>
      <w:r w:rsidR="00FA2D28">
        <w:rPr>
          <w:rFonts w:ascii="Cambria" w:hAnsi="Cambria"/>
          <w:sz w:val="24"/>
          <w:szCs w:val="24"/>
        </w:rPr>
        <w:t xml:space="preserve">approximately </w:t>
      </w:r>
      <w:r w:rsidR="00916D95" w:rsidRPr="004817F8">
        <w:rPr>
          <w:rFonts w:ascii="Cambria" w:hAnsi="Cambria"/>
          <w:sz w:val="24"/>
          <w:szCs w:val="24"/>
        </w:rPr>
        <w:t>$1</w:t>
      </w:r>
      <w:r w:rsidR="008E6CF3" w:rsidRPr="004817F8">
        <w:rPr>
          <w:rFonts w:ascii="Cambria" w:hAnsi="Cambria"/>
          <w:sz w:val="24"/>
          <w:szCs w:val="24"/>
        </w:rPr>
        <w:t>7.9</w:t>
      </w:r>
      <w:r w:rsidR="00916D95" w:rsidRPr="004817F8">
        <w:rPr>
          <w:rFonts w:ascii="Cambria" w:hAnsi="Cambria"/>
          <w:sz w:val="24"/>
          <w:szCs w:val="24"/>
        </w:rPr>
        <w:t xml:space="preserve"> million for FY 2025, of which $13.7 million came from new budget authority</w:t>
      </w:r>
      <w:r w:rsidR="00CE4E0B" w:rsidRPr="004817F8">
        <w:rPr>
          <w:rFonts w:ascii="Cambria" w:hAnsi="Cambria"/>
          <w:sz w:val="24"/>
          <w:szCs w:val="24"/>
        </w:rPr>
        <w:t xml:space="preserve"> (unchanged from FY 2024 due to the </w:t>
      </w:r>
      <w:proofErr w:type="gramStart"/>
      <w:r w:rsidR="00CE4E0B" w:rsidRPr="004817F8">
        <w:rPr>
          <w:rFonts w:ascii="Cambria" w:hAnsi="Cambria"/>
          <w:sz w:val="24"/>
          <w:szCs w:val="24"/>
        </w:rPr>
        <w:t>full-year</w:t>
      </w:r>
      <w:proofErr w:type="gramEnd"/>
      <w:r w:rsidR="00CE4E0B" w:rsidRPr="004817F8">
        <w:rPr>
          <w:rFonts w:ascii="Cambria" w:hAnsi="Cambria"/>
          <w:sz w:val="24"/>
          <w:szCs w:val="24"/>
        </w:rPr>
        <w:t xml:space="preserve"> continuing resolution</w:t>
      </w:r>
      <w:r w:rsidR="000B5149" w:rsidRPr="004817F8">
        <w:rPr>
          <w:rFonts w:ascii="Cambria" w:hAnsi="Cambria"/>
          <w:sz w:val="24"/>
          <w:szCs w:val="24"/>
        </w:rPr>
        <w:t xml:space="preserve"> passed in FY 2025</w:t>
      </w:r>
      <w:r w:rsidR="00CE4E0B" w:rsidRPr="004817F8">
        <w:rPr>
          <w:rFonts w:ascii="Cambria" w:hAnsi="Cambria"/>
          <w:sz w:val="24"/>
          <w:szCs w:val="24"/>
        </w:rPr>
        <w:t>)</w:t>
      </w:r>
      <w:r w:rsidR="00ED62E6" w:rsidRPr="004817F8">
        <w:rPr>
          <w:rFonts w:ascii="Cambria" w:hAnsi="Cambria"/>
          <w:sz w:val="24"/>
          <w:szCs w:val="24"/>
        </w:rPr>
        <w:t>,</w:t>
      </w:r>
      <w:r w:rsidRPr="004817F8">
        <w:rPr>
          <w:rFonts w:ascii="Cambria" w:hAnsi="Cambria"/>
          <w:sz w:val="24"/>
          <w:szCs w:val="24"/>
        </w:rPr>
        <w:t xml:space="preserve"> and </w:t>
      </w:r>
      <w:r w:rsidR="00ED62E6" w:rsidRPr="004817F8">
        <w:rPr>
          <w:rFonts w:ascii="Cambria" w:hAnsi="Cambria"/>
          <w:sz w:val="24"/>
          <w:szCs w:val="24"/>
        </w:rPr>
        <w:t>of which</w:t>
      </w:r>
      <w:r w:rsidRPr="004817F8">
        <w:rPr>
          <w:rFonts w:ascii="Cambria" w:hAnsi="Cambria"/>
          <w:sz w:val="24"/>
          <w:szCs w:val="24"/>
        </w:rPr>
        <w:t xml:space="preserve"> approximately $4.2 million came from unobligated balances carried forward</w:t>
      </w:r>
      <w:r w:rsidR="00736411" w:rsidRPr="004817F8">
        <w:rPr>
          <w:rFonts w:ascii="Cambria" w:hAnsi="Cambria"/>
          <w:sz w:val="24"/>
          <w:szCs w:val="24"/>
        </w:rPr>
        <w:t>.</w:t>
      </w:r>
      <w:r w:rsidR="00916D95" w:rsidRPr="004817F8">
        <w:rPr>
          <w:rFonts w:ascii="Cambria" w:hAnsi="Cambria"/>
          <w:sz w:val="24"/>
          <w:szCs w:val="24"/>
        </w:rPr>
        <w:t xml:space="preserve"> </w:t>
      </w:r>
      <w:r w:rsidR="005878E8" w:rsidRPr="004817F8">
        <w:rPr>
          <w:rFonts w:ascii="Cambria" w:hAnsi="Cambria"/>
          <w:sz w:val="24"/>
          <w:szCs w:val="24"/>
        </w:rPr>
        <w:t>Unobligated balance from prior</w:t>
      </w:r>
      <w:r w:rsidR="000A3130" w:rsidRPr="004817F8">
        <w:rPr>
          <w:rFonts w:ascii="Cambria" w:hAnsi="Cambria"/>
          <w:sz w:val="24"/>
          <w:szCs w:val="24"/>
        </w:rPr>
        <w:t>-</w:t>
      </w:r>
      <w:r w:rsidR="005878E8" w:rsidRPr="004817F8">
        <w:rPr>
          <w:rFonts w:ascii="Cambria" w:hAnsi="Cambria"/>
          <w:sz w:val="24"/>
          <w:szCs w:val="24"/>
        </w:rPr>
        <w:t>year budget authority</w:t>
      </w:r>
      <w:r w:rsidR="00CE4E0B" w:rsidRPr="004817F8">
        <w:rPr>
          <w:rFonts w:ascii="Cambria" w:hAnsi="Cambria"/>
          <w:sz w:val="24"/>
          <w:szCs w:val="24"/>
        </w:rPr>
        <w:t xml:space="preserve"> was higher than in previous years (approximately 4.2 million in FY 2025 compared to approximately $2.4 million in FY 2024), partially due to approximately </w:t>
      </w:r>
      <w:r w:rsidR="005878E8" w:rsidRPr="004817F8">
        <w:rPr>
          <w:rFonts w:ascii="Cambria" w:hAnsi="Cambria"/>
          <w:sz w:val="24"/>
          <w:szCs w:val="24"/>
        </w:rPr>
        <w:t>$3.</w:t>
      </w:r>
      <w:r w:rsidR="000B5149" w:rsidRPr="004817F8">
        <w:rPr>
          <w:rFonts w:ascii="Cambria" w:hAnsi="Cambria"/>
          <w:sz w:val="24"/>
          <w:szCs w:val="24"/>
        </w:rPr>
        <w:t>4</w:t>
      </w:r>
      <w:r w:rsidR="005878E8" w:rsidRPr="004817F8">
        <w:rPr>
          <w:rFonts w:ascii="Cambria" w:hAnsi="Cambria"/>
          <w:sz w:val="24"/>
          <w:szCs w:val="24"/>
        </w:rPr>
        <w:t xml:space="preserve"> million of carryover funding</w:t>
      </w:r>
      <w:r w:rsidR="00CE4E0B" w:rsidRPr="004817F8">
        <w:rPr>
          <w:rFonts w:ascii="Cambria" w:hAnsi="Cambria"/>
          <w:sz w:val="24"/>
          <w:szCs w:val="24"/>
        </w:rPr>
        <w:t xml:space="preserve"> from the FY 2024 appropriation which was not </w:t>
      </w:r>
      <w:r w:rsidR="00335ADA" w:rsidRPr="004817F8">
        <w:rPr>
          <w:rFonts w:ascii="Cambria" w:hAnsi="Cambria"/>
          <w:sz w:val="24"/>
          <w:szCs w:val="24"/>
        </w:rPr>
        <w:t xml:space="preserve">used </w:t>
      </w:r>
      <w:r w:rsidR="00CE4E0B" w:rsidRPr="004817F8">
        <w:rPr>
          <w:rFonts w:ascii="Cambria" w:hAnsi="Cambria"/>
          <w:sz w:val="24"/>
          <w:szCs w:val="24"/>
        </w:rPr>
        <w:t xml:space="preserve">per OMB-directed </w:t>
      </w:r>
      <w:r w:rsidR="005878E8" w:rsidRPr="004817F8">
        <w:rPr>
          <w:rFonts w:ascii="Cambria" w:hAnsi="Cambria"/>
          <w:sz w:val="24"/>
          <w:szCs w:val="24"/>
        </w:rPr>
        <w:t xml:space="preserve">budget cuts in FY 2024. </w:t>
      </w:r>
      <w:r w:rsidR="000B5149" w:rsidRPr="004817F8">
        <w:rPr>
          <w:rFonts w:ascii="Cambria" w:hAnsi="Cambria"/>
          <w:sz w:val="24"/>
          <w:szCs w:val="24"/>
        </w:rPr>
        <w:t>In FY 2025, n</w:t>
      </w:r>
      <w:r w:rsidR="00916D95" w:rsidRPr="004817F8">
        <w:rPr>
          <w:rFonts w:ascii="Cambria" w:hAnsi="Cambria"/>
          <w:sz w:val="24"/>
          <w:szCs w:val="24"/>
        </w:rPr>
        <w:t>et outlays increased approximately $1.</w:t>
      </w:r>
      <w:r w:rsidR="005878E8" w:rsidRPr="004817F8">
        <w:rPr>
          <w:rFonts w:ascii="Cambria" w:hAnsi="Cambria"/>
          <w:sz w:val="24"/>
          <w:szCs w:val="24"/>
        </w:rPr>
        <w:t>5</w:t>
      </w:r>
      <w:r w:rsidR="00916D95" w:rsidRPr="004817F8">
        <w:rPr>
          <w:rFonts w:ascii="Cambria" w:hAnsi="Cambria"/>
          <w:sz w:val="24"/>
          <w:szCs w:val="24"/>
        </w:rPr>
        <w:t xml:space="preserve"> million (1</w:t>
      </w:r>
      <w:r w:rsidR="005878E8" w:rsidRPr="004817F8">
        <w:rPr>
          <w:rFonts w:ascii="Cambria" w:hAnsi="Cambria"/>
          <w:sz w:val="24"/>
          <w:szCs w:val="24"/>
        </w:rPr>
        <w:t>3</w:t>
      </w:r>
      <w:r w:rsidR="00916D95" w:rsidRPr="004817F8">
        <w:rPr>
          <w:rFonts w:ascii="Cambria" w:hAnsi="Cambria"/>
          <w:sz w:val="24"/>
          <w:szCs w:val="24"/>
        </w:rPr>
        <w:t>%)</w:t>
      </w:r>
      <w:r w:rsidR="0006647E" w:rsidRPr="004817F8">
        <w:rPr>
          <w:rFonts w:ascii="Cambria" w:hAnsi="Cambria"/>
          <w:sz w:val="24"/>
          <w:szCs w:val="24"/>
        </w:rPr>
        <w:t xml:space="preserve">, </w:t>
      </w:r>
      <w:r w:rsidR="00ED62E6" w:rsidRPr="004817F8">
        <w:rPr>
          <w:rFonts w:ascii="Cambria" w:hAnsi="Cambria"/>
          <w:sz w:val="24"/>
          <w:szCs w:val="24"/>
        </w:rPr>
        <w:t xml:space="preserve">up </w:t>
      </w:r>
      <w:r w:rsidR="0006647E" w:rsidRPr="004817F8">
        <w:rPr>
          <w:rFonts w:ascii="Cambria" w:hAnsi="Cambria"/>
          <w:sz w:val="24"/>
          <w:szCs w:val="24"/>
        </w:rPr>
        <w:t>from approximately $11.6 million to approximately $13.1 million,</w:t>
      </w:r>
      <w:r w:rsidR="00916D95" w:rsidRPr="004817F8">
        <w:rPr>
          <w:rFonts w:ascii="Cambria" w:hAnsi="Cambria"/>
          <w:sz w:val="24"/>
          <w:szCs w:val="24"/>
        </w:rPr>
        <w:t xml:space="preserve"> in alignment with the increase of expenses as reflected on the Statement of Net Cost.</w:t>
      </w:r>
    </w:p>
    <w:p w14:paraId="6309A44C" w14:textId="409EBBA8" w:rsidR="00916D95" w:rsidRDefault="00916D95" w:rsidP="00B0403B">
      <w:pPr>
        <w:pStyle w:val="CambriaNormal"/>
        <w:spacing w:line="276" w:lineRule="auto"/>
      </w:pPr>
      <w:r>
        <w:t xml:space="preserve">Figure </w:t>
      </w:r>
      <w:r w:rsidR="00AA69CE">
        <w:t>6</w:t>
      </w:r>
      <w:r>
        <w:t xml:space="preserve">, </w:t>
      </w:r>
      <w:r>
        <w:rPr>
          <w:i/>
          <w:iCs/>
        </w:rPr>
        <w:t>Trends in Available Spending</w:t>
      </w:r>
      <w:r>
        <w:t>, depicts the sources of</w:t>
      </w:r>
      <w:r w:rsidRPr="00804D09">
        <w:t xml:space="preserve"> PCLOB’s total available funding each year</w:t>
      </w:r>
      <w:r>
        <w:t>.</w:t>
      </w:r>
      <w:r w:rsidRPr="00804D09">
        <w:t xml:space="preserve"> </w:t>
      </w:r>
      <w:r>
        <w:t xml:space="preserve">PCLOB’s sources for funding </w:t>
      </w:r>
      <w:r w:rsidRPr="00804D09">
        <w:t>ha</w:t>
      </w:r>
      <w:r w:rsidR="00445F14">
        <w:t>ve</w:t>
      </w:r>
      <w:r w:rsidRPr="00804D09">
        <w:t xml:space="preserve"> varied</w:t>
      </w:r>
      <w:r>
        <w:t xml:space="preserve"> </w:t>
      </w:r>
      <w:r w:rsidR="009E7C1C">
        <w:t xml:space="preserve">in recent </w:t>
      </w:r>
      <w:r>
        <w:t>year</w:t>
      </w:r>
      <w:r w:rsidR="009E7C1C">
        <w:t>s</w:t>
      </w:r>
      <w:r w:rsidRPr="00804D09">
        <w:t>.</w:t>
      </w:r>
      <w:r>
        <w:t xml:space="preserve"> Until the end of FY 202</w:t>
      </w:r>
      <w:r w:rsidR="009E7C1C">
        <w:t>4</w:t>
      </w:r>
      <w:r>
        <w:t xml:space="preserve">, the carryover balance, available through the approval of two-year appropriations from year to year, had </w:t>
      </w:r>
      <w:r w:rsidR="009E7C1C">
        <w:t xml:space="preserve">been </w:t>
      </w:r>
      <w:r>
        <w:t>decreas</w:t>
      </w:r>
      <w:r w:rsidR="009E7C1C">
        <w:t>ing</w:t>
      </w:r>
      <w:r>
        <w:t xml:space="preserve"> as the agency’s financial management matured and improved</w:t>
      </w:r>
      <w:r w:rsidR="009E7C1C">
        <w:t xml:space="preserve">. </w:t>
      </w:r>
      <w:r w:rsidR="00FA2D28">
        <w:rPr>
          <w:noProof/>
        </w:rPr>
        <w:lastRenderedPageBreak/>
        <w:drawing>
          <wp:anchor distT="0" distB="0" distL="114300" distR="114300" simplePos="0" relativeHeight="252083712" behindDoc="0" locked="0" layoutInCell="1" allowOverlap="1" wp14:anchorId="18D46C49" wp14:editId="464B9378">
            <wp:simplePos x="0" y="0"/>
            <wp:positionH relativeFrom="page">
              <wp:posOffset>4128845</wp:posOffset>
            </wp:positionH>
            <wp:positionV relativeFrom="page">
              <wp:posOffset>1257935</wp:posOffset>
            </wp:positionV>
            <wp:extent cx="2691765" cy="2845435"/>
            <wp:effectExtent l="57150" t="57150" r="89535" b="88265"/>
            <wp:wrapSquare wrapText="bothSides"/>
            <wp:docPr id="811401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01529"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2691765" cy="284543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E7C1C">
        <w:t xml:space="preserve">As mentioned above, however, </w:t>
      </w:r>
      <w:r w:rsidR="009E7C1C" w:rsidRPr="009E7C1C">
        <w:t xml:space="preserve">the agency received guidance from OMB to make drastic cuts to its </w:t>
      </w:r>
      <w:r w:rsidR="009E7C1C">
        <w:t>FY 2024 spending</w:t>
      </w:r>
      <w:r w:rsidR="009E7C1C" w:rsidRPr="009E7C1C">
        <w:t xml:space="preserve"> in anticipation of a significantly smaller FY 2024 appropriation than requested (forecasted at the time to be as much as 19% less than the requested $14.4 million). In response, PCLOB made difficult decisions to delay hiring much needed staff and procuring long overdue </w:t>
      </w:r>
      <w:r w:rsidR="00975D62">
        <w:t>information technology (</w:t>
      </w:r>
      <w:r w:rsidR="009E7C1C" w:rsidRPr="009E7C1C">
        <w:t>IT</w:t>
      </w:r>
      <w:r w:rsidR="00975D62">
        <w:t>)</w:t>
      </w:r>
      <w:r w:rsidR="009E7C1C" w:rsidRPr="009E7C1C">
        <w:t xml:space="preserve"> hardware upgrades; limit staff training and business travel requests; and cut contracts for goods and services as much as possible. These cutbacks continued until the agency received its FY 2024 appropriation of $13.7 million in early April 2024</w:t>
      </w:r>
      <w:r w:rsidR="00335ADA">
        <w:t>—</w:t>
      </w:r>
      <w:r w:rsidR="009E7C1C" w:rsidRPr="009E7C1C">
        <w:t xml:space="preserve">six months into the fiscal year. Many of the cutbacks </w:t>
      </w:r>
      <w:proofErr w:type="gramStart"/>
      <w:r w:rsidR="009E7C1C" w:rsidRPr="009E7C1C">
        <w:t>were not able to</w:t>
      </w:r>
      <w:proofErr w:type="gramEnd"/>
      <w:r w:rsidR="009E7C1C" w:rsidRPr="009E7C1C">
        <w:t xml:space="preserve"> be addressed during the remaining six months of the fiscal year, thus resulting in a</w:t>
      </w:r>
      <w:r w:rsidR="009E7C1C">
        <w:t xml:space="preserve"> higher-than-usual carryover balance available for FY 2025 use.</w:t>
      </w:r>
    </w:p>
    <w:p w14:paraId="4A7D24FB" w14:textId="1A617426" w:rsidR="00916D95" w:rsidRPr="000C50CC" w:rsidRDefault="00445F14" w:rsidP="00916D95">
      <w:pPr>
        <w:pStyle w:val="CambriaNormal"/>
        <w:pBdr>
          <w:bottom w:val="single" w:sz="4" w:space="1" w:color="auto"/>
        </w:pBdr>
        <w:spacing w:line="276" w:lineRule="auto"/>
        <w:rPr>
          <w:b/>
          <w:bCs/>
          <w:smallCaps/>
          <w:color w:val="002060"/>
          <w:sz w:val="28"/>
          <w:szCs w:val="28"/>
        </w:rPr>
      </w:pPr>
      <w:r>
        <w:rPr>
          <w:noProof/>
        </w:rPr>
        <w:drawing>
          <wp:anchor distT="0" distB="0" distL="114300" distR="114300" simplePos="0" relativeHeight="252220928" behindDoc="0" locked="0" layoutInCell="1" allowOverlap="1" wp14:anchorId="6D8C2933" wp14:editId="3AD68406">
            <wp:simplePos x="0" y="0"/>
            <wp:positionH relativeFrom="column">
              <wp:posOffset>-77470</wp:posOffset>
            </wp:positionH>
            <wp:positionV relativeFrom="page">
              <wp:posOffset>5391150</wp:posOffset>
            </wp:positionV>
            <wp:extent cx="3181350" cy="3115945"/>
            <wp:effectExtent l="57150" t="57150" r="95250" b="103505"/>
            <wp:wrapSquare wrapText="bothSides"/>
            <wp:docPr id="165927017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70176" name="Picture 67"/>
                    <pic:cNvPicPr/>
                  </pic:nvPicPr>
                  <pic:blipFill>
                    <a:blip r:embed="rId49"/>
                    <a:srcRect l="14385" r="14385"/>
                    <a:stretch>
                      <a:fillRect/>
                    </a:stretch>
                  </pic:blipFill>
                  <pic:spPr bwMode="auto">
                    <a:xfrm>
                      <a:off x="0" y="0"/>
                      <a:ext cx="3181350" cy="3115945"/>
                    </a:xfrm>
                    <a:prstGeom prst="rect">
                      <a:avLst/>
                    </a:prstGeom>
                    <a:ln w="127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D95" w:rsidRPr="000C50CC">
        <w:rPr>
          <w:b/>
          <w:bCs/>
          <w:smallCaps/>
          <w:color w:val="002060"/>
          <w:sz w:val="28"/>
          <w:szCs w:val="28"/>
        </w:rPr>
        <w:t>Limitations of the Principal Financial Statements</w:t>
      </w:r>
    </w:p>
    <w:p w14:paraId="3E009104" w14:textId="7A90A6F1" w:rsidR="00916D95" w:rsidRPr="000C50CC" w:rsidRDefault="0009250C" w:rsidP="00916D95">
      <w:pPr>
        <w:pStyle w:val="CambriaNormal"/>
        <w:keepNext/>
        <w:keepLines/>
        <w:spacing w:line="276" w:lineRule="auto"/>
        <w:rPr>
          <w:rStyle w:val="CambriaNormalChar"/>
        </w:rPr>
      </w:pPr>
      <w:r>
        <w:rPr>
          <w:b/>
          <w:bCs/>
          <w:smallCaps/>
          <w:noProof/>
          <w:color w:val="002060"/>
          <w:sz w:val="28"/>
          <w:szCs w:val="28"/>
        </w:rPr>
        <mc:AlternateContent>
          <mc:Choice Requires="wps">
            <w:drawing>
              <wp:anchor distT="0" distB="0" distL="114300" distR="114300" simplePos="0" relativeHeight="252222976" behindDoc="0" locked="0" layoutInCell="1" allowOverlap="1" wp14:anchorId="1891D673" wp14:editId="73838715">
                <wp:simplePos x="0" y="0"/>
                <wp:positionH relativeFrom="page">
                  <wp:posOffset>857250</wp:posOffset>
                </wp:positionH>
                <wp:positionV relativeFrom="page">
                  <wp:posOffset>8179435</wp:posOffset>
                </wp:positionV>
                <wp:extent cx="2628900" cy="204470"/>
                <wp:effectExtent l="0" t="0" r="0" b="5080"/>
                <wp:wrapNone/>
                <wp:docPr id="672313805" name="Text Box 77"/>
                <wp:cNvGraphicFramePr/>
                <a:graphic xmlns:a="http://schemas.openxmlformats.org/drawingml/2006/main">
                  <a:graphicData uri="http://schemas.microsoft.com/office/word/2010/wordprocessingShape">
                    <wps:wsp>
                      <wps:cNvSpPr txBox="1"/>
                      <wps:spPr>
                        <a:xfrm>
                          <a:off x="0" y="0"/>
                          <a:ext cx="2628900" cy="204470"/>
                        </a:xfrm>
                        <a:prstGeom prst="rect">
                          <a:avLst/>
                        </a:prstGeom>
                        <a:noFill/>
                        <a:ln w="6350">
                          <a:noFill/>
                        </a:ln>
                      </wps:spPr>
                      <wps:txbx>
                        <w:txbxContent>
                          <w:p w14:paraId="716417D5" w14:textId="706B72ED" w:rsidR="0009250C" w:rsidRPr="00AD7A93" w:rsidRDefault="0009250C" w:rsidP="00551CC7">
                            <w:pPr>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Tony Northrup</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1D673" id="_x0000_s1034" type="#_x0000_t202" style="position:absolute;left:0;text-align:left;margin-left:67.5pt;margin-top:644.05pt;width:207pt;height:16.1pt;z-index:2522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" filled="f" stroked="f" strokeweight=".5pt">
                <v:textbox>
                  <w:txbxContent>
                    <w:p w14:paraId="716417D5" w14:textId="706B72ED" w:rsidR="0009250C" w:rsidRPr="00AD7A93" w:rsidRDefault="0009250C" w:rsidP="00551CC7">
                      <w:pPr>
                        <w:rPr>
                          <w:rFonts w:ascii="Cambria" w:hAnsi="Cambria"/>
                          <w:i/>
                          <w:iCs/>
                          <w:sz w:val="16"/>
                          <w:szCs w:val="16"/>
                        </w:rPr>
                      </w:pPr>
                      <w:r w:rsidRPr="00AD7A93">
                        <w:rPr>
                          <w:rFonts w:ascii="Cambria" w:hAnsi="Cambria"/>
                          <w:i/>
                          <w:iCs/>
                          <w:sz w:val="16"/>
                          <w:szCs w:val="16"/>
                        </w:rPr>
                        <w:t xml:space="preserve">Photo credit: </w:t>
                      </w:r>
                      <w:r>
                        <w:rPr>
                          <w:rFonts w:ascii="Cambria" w:hAnsi="Cambria"/>
                          <w:i/>
                          <w:iCs/>
                          <w:sz w:val="16"/>
                          <w:szCs w:val="16"/>
                        </w:rPr>
                        <w:t>Tony Northrup</w:t>
                      </w:r>
                      <w:r w:rsidRPr="00AD7A93">
                        <w:rPr>
                          <w:rFonts w:ascii="Cambria" w:hAnsi="Cambria"/>
                          <w:i/>
                          <w:iCs/>
                          <w:sz w:val="16"/>
                          <w:szCs w:val="16"/>
                        </w:rPr>
                        <w:t xml:space="preserve"> via </w:t>
                      </w:r>
                      <w:r>
                        <w:rPr>
                          <w:rFonts w:ascii="Cambria" w:hAnsi="Cambria"/>
                          <w:i/>
                          <w:iCs/>
                          <w:sz w:val="16"/>
                          <w:szCs w:val="16"/>
                        </w:rPr>
                        <w:t xml:space="preserve">Adobe </w:t>
                      </w:r>
                      <w:r w:rsidRPr="00AD7A93">
                        <w:rPr>
                          <w:rFonts w:ascii="Cambria" w:hAnsi="Cambria"/>
                          <w:i/>
                          <w:iCs/>
                          <w:sz w:val="16"/>
                          <w:szCs w:val="16"/>
                        </w:rPr>
                        <w:t>Stock</w:t>
                      </w:r>
                    </w:p>
                  </w:txbxContent>
                </v:textbox>
                <w10:wrap anchorx="page" anchory="page"/>
              </v:shape>
            </w:pict>
          </mc:Fallback>
        </mc:AlternateContent>
      </w:r>
      <w:r w:rsidR="00916D95" w:rsidRPr="000C50CC">
        <w:t xml:space="preserve">The principal financial statements are prepared to report the financial position, financial condition, and results of operations, pursuant to the requirements of 31 U.S.C. § 3515(b). The statements are prepared from records of </w:t>
      </w:r>
      <w:r w:rsidR="00916D95">
        <w:t>the entity</w:t>
      </w:r>
      <w:r w:rsidR="00916D95" w:rsidRPr="000C50CC">
        <w:t xml:space="preserve"> in accordance with </w:t>
      </w:r>
      <w:r w:rsidR="00916D95">
        <w:t xml:space="preserve">federal </w:t>
      </w:r>
      <w:r w:rsidR="00916D95" w:rsidRPr="000C50CC">
        <w:t>GAAP and the formats prescribed by OMB. Reports used to monitor and control budgetary resources are prepared from the same records. Users of the statements are advised that the statements are for a component of the U.S. Government.</w:t>
      </w:r>
    </w:p>
    <w:p w14:paraId="36C82C82" w14:textId="77777777" w:rsidR="00916D95" w:rsidRDefault="00916D95" w:rsidP="00916D95">
      <w:pPr>
        <w:sectPr w:rsidR="00916D95" w:rsidSect="00916D95">
          <w:headerReference w:type="default" r:id="rId50"/>
          <w:pgSz w:w="12240" w:h="15840"/>
          <w:pgMar w:top="1871" w:right="1440" w:bottom="1080" w:left="1440" w:header="450" w:footer="720" w:gutter="0"/>
          <w:cols w:space="720"/>
          <w:docGrid w:linePitch="360"/>
        </w:sectPr>
      </w:pPr>
    </w:p>
    <w:p w14:paraId="0A202026" w14:textId="1A319951" w:rsidR="00223DEC" w:rsidRPr="00223DEC" w:rsidRDefault="00E853EF" w:rsidP="002345D3">
      <w:pPr>
        <w:pStyle w:val="Heading2"/>
      </w:pPr>
      <w:bookmarkStart w:id="58" w:name="_Toc213421231"/>
      <w:r>
        <w:lastRenderedPageBreak/>
        <w:t xml:space="preserve">FY </w:t>
      </w:r>
      <w:r w:rsidR="0049075B">
        <w:t>2025</w:t>
      </w:r>
      <w:r w:rsidR="00907842">
        <w:t xml:space="preserve"> </w:t>
      </w:r>
      <w:r w:rsidR="008373FB">
        <w:t>Key Performance Results</w:t>
      </w:r>
      <w:bookmarkEnd w:id="58"/>
    </w:p>
    <w:p w14:paraId="5B40EA6A" w14:textId="5B9BAFA4" w:rsidR="00E47668" w:rsidRPr="00131B5C" w:rsidRDefault="00D6666A" w:rsidP="00E47668">
      <w:pPr>
        <w:spacing w:before="240" w:after="0"/>
        <w:jc w:val="both"/>
        <w:rPr>
          <w:rFonts w:ascii="Cambria" w:hAnsi="Cambria"/>
          <w:sz w:val="24"/>
          <w:szCs w:val="24"/>
        </w:rPr>
      </w:pPr>
      <w:r w:rsidRPr="00FD101D">
        <w:rPr>
          <w:rFonts w:ascii="Cambria" w:hAnsi="Cambria"/>
          <w:sz w:val="24"/>
          <w:szCs w:val="24"/>
        </w:rPr>
        <w:t xml:space="preserve">PCLOB </w:t>
      </w:r>
      <w:r w:rsidR="00865178">
        <w:rPr>
          <w:rFonts w:ascii="Cambria" w:hAnsi="Cambria"/>
          <w:sz w:val="24"/>
          <w:szCs w:val="24"/>
        </w:rPr>
        <w:t xml:space="preserve">holds </w:t>
      </w:r>
      <w:r w:rsidR="00F42C36">
        <w:rPr>
          <w:rFonts w:ascii="Cambria" w:hAnsi="Cambria"/>
          <w:sz w:val="24"/>
          <w:szCs w:val="24"/>
        </w:rPr>
        <w:t xml:space="preserve">an OMB-approved </w:t>
      </w:r>
      <w:r>
        <w:rPr>
          <w:rFonts w:ascii="Cambria" w:hAnsi="Cambria"/>
          <w:sz w:val="24"/>
          <w:szCs w:val="24"/>
        </w:rPr>
        <w:t xml:space="preserve">exemption from </w:t>
      </w:r>
      <w:r w:rsidRPr="00FD101D">
        <w:rPr>
          <w:rFonts w:ascii="Cambria" w:hAnsi="Cambria"/>
          <w:sz w:val="24"/>
          <w:szCs w:val="24"/>
        </w:rPr>
        <w:t xml:space="preserve">annual performance </w:t>
      </w:r>
      <w:r w:rsidRPr="00131B5C">
        <w:rPr>
          <w:rFonts w:ascii="Cambria" w:hAnsi="Cambria"/>
          <w:sz w:val="24"/>
          <w:szCs w:val="24"/>
        </w:rPr>
        <w:t>planning and reporting requirements of</w:t>
      </w:r>
      <w:r w:rsidRPr="00131B5C">
        <w:t xml:space="preserve"> </w:t>
      </w:r>
      <w:r w:rsidRPr="00131B5C">
        <w:rPr>
          <w:rFonts w:ascii="Cambria" w:hAnsi="Cambria"/>
          <w:bCs/>
          <w:sz w:val="24"/>
          <w:szCs w:val="24"/>
        </w:rPr>
        <w:t xml:space="preserve">the Government Performance and Results Act </w:t>
      </w:r>
      <w:r w:rsidR="00ED62E6">
        <w:rPr>
          <w:rFonts w:ascii="Cambria" w:hAnsi="Cambria"/>
          <w:bCs/>
          <w:sz w:val="24"/>
          <w:szCs w:val="24"/>
        </w:rPr>
        <w:t xml:space="preserve">(GPRA) </w:t>
      </w:r>
      <w:r w:rsidRPr="00131B5C">
        <w:rPr>
          <w:rFonts w:ascii="Cambria" w:hAnsi="Cambria"/>
          <w:bCs/>
          <w:sz w:val="24"/>
          <w:szCs w:val="24"/>
        </w:rPr>
        <w:t>of 1993, as amended by the GPRA Modernization Act of 2010</w:t>
      </w:r>
      <w:r w:rsidR="00ED62E6">
        <w:rPr>
          <w:rFonts w:ascii="Cambria" w:hAnsi="Cambria"/>
          <w:bCs/>
          <w:sz w:val="24"/>
          <w:szCs w:val="24"/>
        </w:rPr>
        <w:t>,</w:t>
      </w:r>
      <w:r w:rsidRPr="00131B5C">
        <w:rPr>
          <w:rFonts w:ascii="Cambria" w:hAnsi="Cambria"/>
          <w:sz w:val="24"/>
          <w:szCs w:val="24"/>
        </w:rPr>
        <w:t xml:space="preserve"> through FY 2030</w:t>
      </w:r>
      <w:r w:rsidR="00F42C36" w:rsidRPr="00131B5C">
        <w:rPr>
          <w:rFonts w:ascii="Cambria" w:hAnsi="Cambria"/>
          <w:sz w:val="24"/>
          <w:szCs w:val="24"/>
        </w:rPr>
        <w:t xml:space="preserve">. Due to PCLOB’s small size, limited resources, and unique mission </w:t>
      </w:r>
      <w:r w:rsidR="00E95CFE" w:rsidRPr="00EE3EAB">
        <w:rPr>
          <w:rFonts w:ascii="Cambria" w:hAnsi="Cambria"/>
          <w:sz w:val="24"/>
          <w:szCs w:val="24"/>
        </w:rPr>
        <w:t xml:space="preserve">requirements, </w:t>
      </w:r>
      <w:r w:rsidR="00E95CFE" w:rsidRPr="00131B5C">
        <w:rPr>
          <w:rFonts w:ascii="Cambria" w:hAnsi="Cambria"/>
          <w:sz w:val="24"/>
          <w:szCs w:val="24"/>
        </w:rPr>
        <w:t xml:space="preserve">the agency’s small staff is unable to meet the full set of requirements imposed by GPRA without expending significant time, effort, and resources that detract from </w:t>
      </w:r>
      <w:r w:rsidR="00296BE2">
        <w:rPr>
          <w:rFonts w:ascii="Cambria" w:hAnsi="Cambria"/>
          <w:sz w:val="24"/>
          <w:szCs w:val="24"/>
        </w:rPr>
        <w:t>PCLOB’s</w:t>
      </w:r>
      <w:r w:rsidR="00E95CFE" w:rsidRPr="00131B5C">
        <w:rPr>
          <w:rFonts w:ascii="Cambria" w:hAnsi="Cambria"/>
          <w:sz w:val="24"/>
          <w:szCs w:val="24"/>
        </w:rPr>
        <w:t xml:space="preserve"> ability to carry out its mission. However, recognizing the value </w:t>
      </w:r>
      <w:r w:rsidR="00F42C36" w:rsidRPr="00131B5C">
        <w:rPr>
          <w:rFonts w:ascii="Cambria" w:hAnsi="Cambria"/>
          <w:sz w:val="24"/>
          <w:szCs w:val="24"/>
        </w:rPr>
        <w:t xml:space="preserve">of performance </w:t>
      </w:r>
      <w:r w:rsidR="00865178">
        <w:rPr>
          <w:rFonts w:ascii="Cambria" w:hAnsi="Cambria"/>
          <w:sz w:val="24"/>
          <w:szCs w:val="24"/>
        </w:rPr>
        <w:t xml:space="preserve">goals </w:t>
      </w:r>
      <w:r w:rsidR="00F42C36" w:rsidRPr="00131B5C">
        <w:rPr>
          <w:rFonts w:ascii="Cambria" w:hAnsi="Cambria"/>
          <w:sz w:val="24"/>
          <w:szCs w:val="24"/>
        </w:rPr>
        <w:t>and measurement procedures</w:t>
      </w:r>
      <w:r w:rsidR="00E95CFE" w:rsidRPr="00EE3EAB">
        <w:rPr>
          <w:rFonts w:ascii="Cambria" w:hAnsi="Cambria"/>
          <w:sz w:val="24"/>
          <w:szCs w:val="24"/>
        </w:rPr>
        <w:t>,</w:t>
      </w:r>
      <w:r w:rsidR="00F42C36" w:rsidRPr="00131B5C">
        <w:rPr>
          <w:rFonts w:ascii="Cambria" w:hAnsi="Cambria"/>
          <w:sz w:val="24"/>
          <w:szCs w:val="24"/>
        </w:rPr>
        <w:t xml:space="preserve"> </w:t>
      </w:r>
      <w:r w:rsidR="00E95CFE" w:rsidRPr="00EE3EAB">
        <w:rPr>
          <w:rFonts w:ascii="Cambria" w:hAnsi="Cambria"/>
          <w:sz w:val="24"/>
          <w:szCs w:val="24"/>
        </w:rPr>
        <w:t xml:space="preserve">PCLOB </w:t>
      </w:r>
      <w:r w:rsidRPr="00131B5C">
        <w:rPr>
          <w:rFonts w:ascii="Cambria" w:hAnsi="Cambria"/>
          <w:sz w:val="24"/>
          <w:szCs w:val="24"/>
        </w:rPr>
        <w:t xml:space="preserve">endeavored to incorporate these elements into management’s current processes by rolling out </w:t>
      </w:r>
      <w:r w:rsidR="00E95CFE" w:rsidRPr="00131B5C">
        <w:rPr>
          <w:rFonts w:ascii="Cambria" w:hAnsi="Cambria"/>
          <w:sz w:val="24"/>
          <w:szCs w:val="24"/>
        </w:rPr>
        <w:t xml:space="preserve">its first structured performance framework in </w:t>
      </w:r>
      <w:r w:rsidRPr="00131B5C">
        <w:rPr>
          <w:rFonts w:ascii="Cambria" w:hAnsi="Cambria"/>
          <w:sz w:val="24"/>
          <w:szCs w:val="24"/>
        </w:rPr>
        <w:t xml:space="preserve">FY 2024. </w:t>
      </w:r>
    </w:p>
    <w:p w14:paraId="69A4BE75" w14:textId="043C8538" w:rsidR="00E47668" w:rsidRPr="00131B5C" w:rsidRDefault="00A93933" w:rsidP="00E47668">
      <w:pPr>
        <w:spacing w:before="240" w:after="0"/>
        <w:jc w:val="both"/>
        <w:rPr>
          <w:rFonts w:ascii="Cambria" w:hAnsi="Cambria"/>
          <w:sz w:val="24"/>
          <w:szCs w:val="24"/>
        </w:rPr>
      </w:pPr>
      <w:r w:rsidRPr="00EE3EAB">
        <w:rPr>
          <w:rFonts w:ascii="Cambria" w:hAnsi="Cambria"/>
          <w:sz w:val="24"/>
          <w:szCs w:val="24"/>
        </w:rPr>
        <w:t xml:space="preserve">The measures established under </w:t>
      </w:r>
      <w:r w:rsidR="00E95CFE" w:rsidRPr="00EE3EAB">
        <w:rPr>
          <w:rFonts w:ascii="Cambria" w:hAnsi="Cambria"/>
          <w:sz w:val="24"/>
          <w:szCs w:val="24"/>
        </w:rPr>
        <w:t xml:space="preserve">PCLOB’s performance </w:t>
      </w:r>
      <w:r w:rsidRPr="00EE3EAB">
        <w:rPr>
          <w:rFonts w:ascii="Cambria" w:hAnsi="Cambria"/>
          <w:sz w:val="24"/>
          <w:szCs w:val="24"/>
        </w:rPr>
        <w:t xml:space="preserve">framework </w:t>
      </w:r>
      <w:r w:rsidR="00544B96" w:rsidRPr="00EE3EAB">
        <w:rPr>
          <w:rFonts w:ascii="Cambria" w:hAnsi="Cambria"/>
          <w:sz w:val="24"/>
          <w:szCs w:val="24"/>
        </w:rPr>
        <w:t xml:space="preserve">correlate </w:t>
      </w:r>
      <w:r w:rsidR="00E95CFE" w:rsidRPr="00EE3EAB">
        <w:rPr>
          <w:rFonts w:ascii="Cambria" w:hAnsi="Cambria"/>
          <w:sz w:val="24"/>
          <w:szCs w:val="24"/>
        </w:rPr>
        <w:t xml:space="preserve">with the </w:t>
      </w:r>
      <w:r w:rsidR="00544B96" w:rsidRPr="00EE3EAB">
        <w:rPr>
          <w:rFonts w:ascii="Cambria" w:hAnsi="Cambria"/>
          <w:sz w:val="24"/>
          <w:szCs w:val="24"/>
        </w:rPr>
        <w:t xml:space="preserve">goals and objectives of the </w:t>
      </w:r>
      <w:r w:rsidR="00E95CFE" w:rsidRPr="00EE3EAB">
        <w:rPr>
          <w:rFonts w:ascii="Cambria" w:hAnsi="Cambria"/>
          <w:sz w:val="24"/>
          <w:szCs w:val="24"/>
        </w:rPr>
        <w:t xml:space="preserve">agency’s </w:t>
      </w:r>
      <w:hyperlink r:id="rId51" w:history="1">
        <w:r w:rsidR="00394DD9" w:rsidRPr="00394DD9">
          <w:rPr>
            <w:rStyle w:val="Hyperlink"/>
            <w:rFonts w:ascii="Cambria" w:hAnsi="Cambria"/>
            <w:sz w:val="24"/>
            <w:szCs w:val="24"/>
          </w:rPr>
          <w:t xml:space="preserve">FY </w:t>
        </w:r>
        <w:r w:rsidR="00544B96" w:rsidRPr="00394DD9">
          <w:rPr>
            <w:rStyle w:val="Hyperlink"/>
            <w:rFonts w:ascii="Cambria" w:hAnsi="Cambria"/>
            <w:sz w:val="24"/>
            <w:szCs w:val="24"/>
          </w:rPr>
          <w:t>2022</w:t>
        </w:r>
        <w:r w:rsidR="009C47C2">
          <w:rPr>
            <w:rStyle w:val="Hyperlink"/>
            <w:rFonts w:ascii="Cambria" w:hAnsi="Cambria"/>
            <w:sz w:val="24"/>
            <w:szCs w:val="24"/>
          </w:rPr>
          <w:t>–</w:t>
        </w:r>
        <w:r w:rsidR="00544B96" w:rsidRPr="00394DD9">
          <w:rPr>
            <w:rStyle w:val="Hyperlink"/>
            <w:rFonts w:ascii="Cambria" w:hAnsi="Cambria"/>
            <w:sz w:val="24"/>
            <w:szCs w:val="24"/>
          </w:rPr>
          <w:t>2026 S</w:t>
        </w:r>
        <w:r w:rsidR="00E95CFE" w:rsidRPr="00394DD9">
          <w:rPr>
            <w:rStyle w:val="Hyperlink"/>
            <w:rFonts w:ascii="Cambria" w:hAnsi="Cambria"/>
            <w:sz w:val="24"/>
            <w:szCs w:val="24"/>
          </w:rPr>
          <w:t xml:space="preserve">trategic </w:t>
        </w:r>
        <w:r w:rsidR="00544B96" w:rsidRPr="00394DD9">
          <w:rPr>
            <w:rStyle w:val="Hyperlink"/>
            <w:rFonts w:ascii="Cambria" w:hAnsi="Cambria"/>
            <w:sz w:val="24"/>
            <w:szCs w:val="24"/>
          </w:rPr>
          <w:t>P</w:t>
        </w:r>
        <w:r w:rsidR="00E95CFE" w:rsidRPr="00394DD9">
          <w:rPr>
            <w:rStyle w:val="Hyperlink"/>
            <w:rFonts w:ascii="Cambria" w:hAnsi="Cambria"/>
            <w:sz w:val="24"/>
            <w:szCs w:val="24"/>
          </w:rPr>
          <w:t>lan</w:t>
        </w:r>
      </w:hyperlink>
      <w:r w:rsidR="00E47668" w:rsidRPr="00EE3EAB">
        <w:rPr>
          <w:rFonts w:ascii="Cambria" w:hAnsi="Cambria"/>
          <w:sz w:val="24"/>
          <w:szCs w:val="24"/>
        </w:rPr>
        <w:t xml:space="preserve">. </w:t>
      </w:r>
      <w:r w:rsidR="00E47668" w:rsidRPr="00131B5C">
        <w:rPr>
          <w:rFonts w:ascii="Cambria" w:hAnsi="Cambria"/>
          <w:sz w:val="24"/>
          <w:szCs w:val="24"/>
        </w:rPr>
        <w:t>For each measure in the agency’s performance framework, PCLOB set</w:t>
      </w:r>
      <w:r w:rsidR="00081858">
        <w:rPr>
          <w:rFonts w:ascii="Cambria" w:hAnsi="Cambria"/>
          <w:sz w:val="24"/>
          <w:szCs w:val="24"/>
        </w:rPr>
        <w:t>s annual</w:t>
      </w:r>
      <w:r w:rsidR="00E47668" w:rsidRPr="00131B5C">
        <w:rPr>
          <w:rFonts w:ascii="Cambria" w:hAnsi="Cambria"/>
          <w:sz w:val="24"/>
          <w:szCs w:val="24"/>
        </w:rPr>
        <w:t xml:space="preserve"> targets to help drive continuous improvement. “On-track” measures are those where the target has been met or exceeded, while “off-track” measures represent areas that could benefit from further attention.</w:t>
      </w:r>
      <w:r w:rsidR="009359FF" w:rsidRPr="009359FF">
        <w:rPr>
          <w:rFonts w:ascii="Cambria" w:hAnsi="Cambria"/>
          <w:sz w:val="24"/>
          <w:szCs w:val="24"/>
        </w:rPr>
        <w:t xml:space="preserve"> </w:t>
      </w:r>
      <w:r w:rsidR="009359FF">
        <w:rPr>
          <w:rFonts w:ascii="Cambria" w:hAnsi="Cambria"/>
          <w:sz w:val="24"/>
          <w:szCs w:val="24"/>
        </w:rPr>
        <w:t xml:space="preserve">Progress toward each measure’s annual target is assessed quarterly by senior leadership and reported to the </w:t>
      </w:r>
      <w:r w:rsidR="00597E6A">
        <w:rPr>
          <w:rFonts w:ascii="Cambria" w:hAnsi="Cambria"/>
          <w:sz w:val="24"/>
          <w:szCs w:val="24"/>
        </w:rPr>
        <w:t>P</w:t>
      </w:r>
      <w:r w:rsidR="009359FF">
        <w:rPr>
          <w:rFonts w:ascii="Cambria" w:hAnsi="Cambria"/>
          <w:sz w:val="24"/>
          <w:szCs w:val="24"/>
        </w:rPr>
        <w:t>erformance Improvement Officer (PIO) to promote continual advancement.</w:t>
      </w:r>
    </w:p>
    <w:p w14:paraId="325386A8" w14:textId="1CBE5354" w:rsidR="00E47668" w:rsidRPr="00FD101D" w:rsidRDefault="009359FF" w:rsidP="00E47668">
      <w:pPr>
        <w:spacing w:before="240" w:after="0"/>
        <w:jc w:val="both"/>
        <w:rPr>
          <w:rFonts w:ascii="Cambria" w:hAnsi="Cambria"/>
          <w:sz w:val="24"/>
          <w:szCs w:val="24"/>
        </w:rPr>
      </w:pPr>
      <w:r>
        <w:rPr>
          <w:rFonts w:ascii="Cambria" w:hAnsi="Cambria"/>
          <w:sz w:val="24"/>
          <w:szCs w:val="24"/>
        </w:rPr>
        <w:t xml:space="preserve">At the beginning of FY 2025, some performance measures were updated, combined or removed, based on management’s assessment of FY 2024 results as well as changes in the President’s agenda. </w:t>
      </w:r>
      <w:r w:rsidRPr="00F44416">
        <w:rPr>
          <w:rFonts w:ascii="Cambria" w:hAnsi="Cambria"/>
          <w:sz w:val="24"/>
          <w:szCs w:val="24"/>
        </w:rPr>
        <w:t xml:space="preserve">The key performance results that follow are highlights of the agency’s first full year operating under </w:t>
      </w:r>
      <w:r>
        <w:rPr>
          <w:rFonts w:ascii="Cambria" w:hAnsi="Cambria"/>
          <w:sz w:val="24"/>
          <w:szCs w:val="24"/>
        </w:rPr>
        <w:t>a refined</w:t>
      </w:r>
      <w:r w:rsidRPr="00F44416">
        <w:rPr>
          <w:rFonts w:ascii="Cambria" w:hAnsi="Cambria"/>
          <w:sz w:val="24"/>
          <w:szCs w:val="24"/>
        </w:rPr>
        <w:t xml:space="preserve"> structured performance framework.</w:t>
      </w:r>
      <w:r>
        <w:rPr>
          <w:rFonts w:ascii="Cambria" w:hAnsi="Cambria"/>
          <w:sz w:val="24"/>
          <w:szCs w:val="24"/>
        </w:rPr>
        <w:t xml:space="preserve"> </w:t>
      </w:r>
    </w:p>
    <w:p w14:paraId="38919653" w14:textId="77777777" w:rsidR="00223DEC" w:rsidRPr="002345D3" w:rsidRDefault="00223DEC" w:rsidP="002345D3">
      <w:pPr>
        <w:pStyle w:val="Heading3"/>
        <w:rPr>
          <w:sz w:val="24"/>
          <w:szCs w:val="24"/>
        </w:rPr>
      </w:pPr>
      <w:bookmarkStart w:id="59" w:name="_Toc179295661"/>
      <w:bookmarkStart w:id="60" w:name="_Toc212119658"/>
      <w:bookmarkStart w:id="61" w:name="_Toc213421232"/>
      <w:r w:rsidRPr="002345D3">
        <w:rPr>
          <w:sz w:val="24"/>
          <w:szCs w:val="24"/>
        </w:rPr>
        <w:t>STRATEGIC GOAL 1: OVERSIGHT</w:t>
      </w:r>
      <w:bookmarkEnd w:id="59"/>
      <w:bookmarkEnd w:id="60"/>
      <w:bookmarkEnd w:id="61"/>
      <w:r w:rsidRPr="002345D3">
        <w:rPr>
          <w:sz w:val="24"/>
          <w:szCs w:val="24"/>
        </w:rPr>
        <w:t xml:space="preserve">  </w:t>
      </w:r>
    </w:p>
    <w:p w14:paraId="4440D361" w14:textId="558D73AC" w:rsidR="00223DEC" w:rsidRPr="000C50CC" w:rsidRDefault="00223DEC" w:rsidP="00223DEC">
      <w:pPr>
        <w:pBdr>
          <w:bottom w:val="single" w:sz="12" w:space="6" w:color="002060"/>
        </w:pBdr>
        <w:jc w:val="both"/>
        <w:rPr>
          <w:rFonts w:ascii="Cambria" w:hAnsi="Cambria"/>
          <w:i/>
          <w:iCs/>
          <w:sz w:val="24"/>
          <w:szCs w:val="24"/>
        </w:rPr>
      </w:pPr>
      <w:r w:rsidRPr="000C50CC">
        <w:rPr>
          <w:rFonts w:ascii="Cambria" w:hAnsi="Cambria"/>
          <w:i/>
          <w:iCs/>
          <w:sz w:val="24"/>
          <w:szCs w:val="24"/>
        </w:rPr>
        <w:t>Conduct effective oversight of executive branch authorities, policies, and activities related to efforts to protect the nation against terrorism to ensure appropriate protection of privacy and civil liberties.</w:t>
      </w:r>
    </w:p>
    <w:p w14:paraId="05FA194B" w14:textId="1E86B38F" w:rsidR="00223DEC" w:rsidRPr="005430F9" w:rsidRDefault="00223DEC" w:rsidP="00223DEC">
      <w:pPr>
        <w:spacing w:line="276" w:lineRule="auto"/>
        <w:jc w:val="both"/>
        <w:rPr>
          <w:rFonts w:ascii="Cambria" w:hAnsi="Cambria"/>
          <w:b/>
          <w:bCs/>
          <w:sz w:val="24"/>
          <w:szCs w:val="24"/>
        </w:rPr>
      </w:pPr>
      <w:r w:rsidRPr="005430F9">
        <w:rPr>
          <w:rFonts w:ascii="Cambria" w:hAnsi="Cambria"/>
          <w:b/>
          <w:bCs/>
          <w:sz w:val="24"/>
          <w:szCs w:val="24"/>
        </w:rPr>
        <w:t>Background</w:t>
      </w:r>
    </w:p>
    <w:p w14:paraId="66A8F8AF" w14:textId="0E035589" w:rsidR="00223DEC" w:rsidRPr="000C50CC" w:rsidRDefault="00394DD9" w:rsidP="00223DEC">
      <w:pPr>
        <w:jc w:val="both"/>
        <w:rPr>
          <w:rFonts w:ascii="Cambria" w:hAnsi="Cambria"/>
          <w:sz w:val="24"/>
          <w:szCs w:val="24"/>
        </w:rPr>
      </w:pPr>
      <w:r>
        <w:rPr>
          <w:rFonts w:ascii="Cambria" w:hAnsi="Cambria"/>
          <w:sz w:val="24"/>
          <w:szCs w:val="24"/>
        </w:rPr>
        <w:t>In</w:t>
      </w:r>
      <w:r w:rsidR="00223DEC" w:rsidRPr="000C50CC">
        <w:rPr>
          <w:rFonts w:ascii="Cambria" w:hAnsi="Cambria"/>
          <w:sz w:val="24"/>
          <w:szCs w:val="24"/>
        </w:rPr>
        <w:t xml:space="preserve"> its oversight function, the agency is required to “continually review” executive branch regulations, policies, procedures, information-sharing practices, and other actions related to efforts to protect the nation from terrorism to ensure that they appropriately protect privacy and civil liberties and comport with governing laws, regulations, and policies relating to privacy and civil liberties. </w:t>
      </w:r>
    </w:p>
    <w:p w14:paraId="7B593261" w14:textId="7072DC9B" w:rsidR="00223DEC" w:rsidRPr="005430F9" w:rsidRDefault="00892BAD" w:rsidP="00EE3EAB">
      <w:pPr>
        <w:keepNext/>
        <w:keepLines/>
        <w:spacing w:line="276" w:lineRule="auto"/>
        <w:jc w:val="both"/>
        <w:rPr>
          <w:rFonts w:ascii="Cambria" w:hAnsi="Cambria"/>
          <w:b/>
          <w:bCs/>
          <w:sz w:val="24"/>
          <w:szCs w:val="24"/>
        </w:rPr>
      </w:pPr>
      <w:r w:rsidRPr="006639C8">
        <w:rPr>
          <w:rFonts w:ascii="Cambria" w:hAnsi="Cambria"/>
          <w:noProof/>
          <w:sz w:val="24"/>
          <w:szCs w:val="24"/>
        </w:rPr>
        <w:lastRenderedPageBreak/>
        <w:drawing>
          <wp:anchor distT="0" distB="0" distL="114300" distR="114300" simplePos="0" relativeHeight="252134912" behindDoc="0" locked="0" layoutInCell="1" allowOverlap="0" wp14:anchorId="172B5D0D" wp14:editId="28B6BB83">
            <wp:simplePos x="0" y="0"/>
            <wp:positionH relativeFrom="column">
              <wp:posOffset>3486150</wp:posOffset>
            </wp:positionH>
            <wp:positionV relativeFrom="page">
              <wp:posOffset>1419225</wp:posOffset>
            </wp:positionV>
            <wp:extent cx="2461260" cy="2466975"/>
            <wp:effectExtent l="0" t="0" r="5715" b="9525"/>
            <wp:wrapSquare wrapText="bothSides"/>
            <wp:docPr id="10499329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9932928" name="Picture 1"/>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2461260" cy="2466975"/>
                    </a:xfrm>
                    <a:prstGeom prst="rect">
                      <a:avLst/>
                    </a:prstGeom>
                  </pic:spPr>
                </pic:pic>
              </a:graphicData>
            </a:graphic>
            <wp14:sizeRelH relativeFrom="margin">
              <wp14:pctWidth>0</wp14:pctWidth>
            </wp14:sizeRelH>
            <wp14:sizeRelV relativeFrom="margin">
              <wp14:pctHeight>0</wp14:pctHeight>
            </wp14:sizeRelV>
          </wp:anchor>
        </w:drawing>
      </w:r>
      <w:r w:rsidR="00223DEC" w:rsidRPr="000C50CC">
        <w:rPr>
          <w:rFonts w:ascii="Cambria" w:hAnsi="Cambria"/>
          <w:b/>
          <w:bCs/>
          <w:sz w:val="24"/>
          <w:szCs w:val="24"/>
        </w:rPr>
        <w:t>F</w:t>
      </w:r>
      <w:r w:rsidR="00223DEC" w:rsidRPr="005430F9">
        <w:rPr>
          <w:rFonts w:ascii="Cambria" w:hAnsi="Cambria"/>
          <w:b/>
          <w:bCs/>
          <w:sz w:val="24"/>
          <w:szCs w:val="24"/>
        </w:rPr>
        <w:t xml:space="preserve">Y </w:t>
      </w:r>
      <w:r w:rsidR="0049075B">
        <w:rPr>
          <w:rFonts w:ascii="Cambria" w:hAnsi="Cambria"/>
          <w:b/>
          <w:bCs/>
          <w:sz w:val="24"/>
          <w:szCs w:val="24"/>
        </w:rPr>
        <w:t>2025</w:t>
      </w:r>
      <w:r w:rsidR="00223DEC" w:rsidRPr="005430F9">
        <w:rPr>
          <w:rFonts w:ascii="Cambria" w:hAnsi="Cambria"/>
          <w:b/>
          <w:bCs/>
          <w:sz w:val="24"/>
          <w:szCs w:val="24"/>
        </w:rPr>
        <w:t xml:space="preserve"> Accomplishments</w:t>
      </w:r>
    </w:p>
    <w:p w14:paraId="27EEA727" w14:textId="60DF05E2" w:rsidR="00223DEC" w:rsidRDefault="00223DEC">
      <w:pPr>
        <w:keepNext/>
        <w:keepLines/>
        <w:spacing w:line="276" w:lineRule="auto"/>
        <w:jc w:val="both"/>
        <w:rPr>
          <w:rFonts w:ascii="Cambria" w:hAnsi="Cambria"/>
          <w:sz w:val="24"/>
          <w:szCs w:val="24"/>
        </w:rPr>
      </w:pPr>
      <w:r w:rsidRPr="000C50CC">
        <w:rPr>
          <w:rFonts w:ascii="Cambria" w:hAnsi="Cambria"/>
          <w:sz w:val="24"/>
          <w:szCs w:val="24"/>
        </w:rPr>
        <w:t xml:space="preserve">In line with the agency’s first strategic goal, </w:t>
      </w:r>
      <w:r>
        <w:rPr>
          <w:rFonts w:ascii="Cambria" w:hAnsi="Cambria"/>
          <w:sz w:val="24"/>
          <w:szCs w:val="24"/>
        </w:rPr>
        <w:t>PCLOB</w:t>
      </w:r>
      <w:r w:rsidRPr="000C50CC">
        <w:rPr>
          <w:rFonts w:ascii="Cambria" w:hAnsi="Cambria"/>
          <w:sz w:val="24"/>
          <w:szCs w:val="24"/>
        </w:rPr>
        <w:t xml:space="preserve"> conducted vigorous oversight of efforts by the executive branch to protect the nation against terrorism</w:t>
      </w:r>
      <w:r w:rsidR="00394DD9">
        <w:rPr>
          <w:rFonts w:ascii="Cambria" w:hAnsi="Cambria"/>
          <w:sz w:val="24"/>
          <w:szCs w:val="24"/>
        </w:rPr>
        <w:t>,</w:t>
      </w:r>
      <w:r w:rsidRPr="000C50CC">
        <w:rPr>
          <w:rFonts w:ascii="Cambria" w:hAnsi="Cambria"/>
          <w:sz w:val="24"/>
          <w:szCs w:val="24"/>
        </w:rPr>
        <w:t xml:space="preserve"> examining both classified activities and unclassified programs</w:t>
      </w:r>
      <w:r w:rsidR="0022446E">
        <w:rPr>
          <w:rFonts w:ascii="Cambria" w:hAnsi="Cambria"/>
          <w:sz w:val="24"/>
          <w:szCs w:val="24"/>
        </w:rPr>
        <w:t xml:space="preserve">, as listed in </w:t>
      </w:r>
      <w:r w:rsidR="0022446E" w:rsidRPr="009C52EF">
        <w:rPr>
          <w:rFonts w:ascii="Cambria" w:hAnsi="Cambria"/>
          <w:sz w:val="24"/>
          <w:szCs w:val="24"/>
        </w:rPr>
        <w:t xml:space="preserve">Figure </w:t>
      </w:r>
      <w:r w:rsidR="00AA69CE">
        <w:rPr>
          <w:rFonts w:ascii="Cambria" w:hAnsi="Cambria"/>
          <w:sz w:val="24"/>
          <w:szCs w:val="24"/>
        </w:rPr>
        <w:t>7</w:t>
      </w:r>
      <w:r w:rsidR="00A22F0E">
        <w:rPr>
          <w:rFonts w:ascii="Cambria" w:hAnsi="Cambria"/>
          <w:sz w:val="24"/>
          <w:szCs w:val="24"/>
        </w:rPr>
        <w:t xml:space="preserve">, </w:t>
      </w:r>
      <w:r w:rsidR="0049075B">
        <w:rPr>
          <w:rFonts w:ascii="Cambria" w:hAnsi="Cambria"/>
          <w:i/>
          <w:iCs/>
          <w:sz w:val="24"/>
          <w:szCs w:val="24"/>
        </w:rPr>
        <w:t>2025</w:t>
      </w:r>
      <w:r w:rsidR="0022446E" w:rsidRPr="00AD7A93">
        <w:rPr>
          <w:rFonts w:ascii="Cambria" w:hAnsi="Cambria"/>
          <w:i/>
          <w:iCs/>
          <w:sz w:val="24"/>
          <w:szCs w:val="24"/>
        </w:rPr>
        <w:t xml:space="preserve"> PCLOB Oversight </w:t>
      </w:r>
      <w:r w:rsidR="00753293">
        <w:rPr>
          <w:rFonts w:ascii="Cambria" w:hAnsi="Cambria"/>
          <w:i/>
          <w:iCs/>
          <w:sz w:val="24"/>
          <w:szCs w:val="24"/>
        </w:rPr>
        <w:t>Reports</w:t>
      </w:r>
      <w:r w:rsidR="0022446E">
        <w:rPr>
          <w:rFonts w:ascii="Cambria" w:hAnsi="Cambria"/>
          <w:sz w:val="24"/>
          <w:szCs w:val="24"/>
        </w:rPr>
        <w:t>.</w:t>
      </w:r>
      <w:r w:rsidRPr="000C50CC">
        <w:rPr>
          <w:rFonts w:ascii="Cambria" w:hAnsi="Cambria"/>
          <w:sz w:val="24"/>
          <w:szCs w:val="24"/>
        </w:rPr>
        <w:t xml:space="preserve"> </w:t>
      </w:r>
      <w:r w:rsidR="006639C8">
        <w:rPr>
          <w:rFonts w:ascii="Cambria" w:hAnsi="Cambria"/>
          <w:sz w:val="24"/>
          <w:szCs w:val="24"/>
        </w:rPr>
        <w:t>The agency worked at a record pace, issuing five reports in FY</w:t>
      </w:r>
      <w:r w:rsidR="00D44F78">
        <w:rPr>
          <w:rFonts w:ascii="Cambria" w:hAnsi="Cambria"/>
          <w:sz w:val="24"/>
          <w:szCs w:val="24"/>
        </w:rPr>
        <w:t xml:space="preserve"> 20</w:t>
      </w:r>
      <w:r w:rsidR="006639C8">
        <w:rPr>
          <w:rFonts w:ascii="Cambria" w:hAnsi="Cambria"/>
          <w:sz w:val="24"/>
          <w:szCs w:val="24"/>
        </w:rPr>
        <w:t xml:space="preserve">25 and </w:t>
      </w:r>
      <w:r w:rsidR="00394DD9">
        <w:rPr>
          <w:rFonts w:ascii="Cambria" w:hAnsi="Cambria"/>
          <w:sz w:val="24"/>
          <w:szCs w:val="24"/>
        </w:rPr>
        <w:t xml:space="preserve">continuing </w:t>
      </w:r>
      <w:r w:rsidR="006639C8">
        <w:rPr>
          <w:rFonts w:ascii="Cambria" w:hAnsi="Cambria"/>
          <w:sz w:val="24"/>
          <w:szCs w:val="24"/>
        </w:rPr>
        <w:t xml:space="preserve">work towards issuance of several more </w:t>
      </w:r>
      <w:r w:rsidR="00394DD9">
        <w:rPr>
          <w:rFonts w:ascii="Cambria" w:hAnsi="Cambria"/>
          <w:sz w:val="24"/>
          <w:szCs w:val="24"/>
        </w:rPr>
        <w:t>reports</w:t>
      </w:r>
      <w:r w:rsidR="006639C8">
        <w:rPr>
          <w:rFonts w:ascii="Cambria" w:hAnsi="Cambria"/>
          <w:sz w:val="24"/>
          <w:szCs w:val="24"/>
        </w:rPr>
        <w:t xml:space="preserve"> </w:t>
      </w:r>
      <w:r w:rsidR="00A953E5">
        <w:rPr>
          <w:rFonts w:ascii="Cambria" w:hAnsi="Cambria"/>
          <w:sz w:val="24"/>
          <w:szCs w:val="24"/>
        </w:rPr>
        <w:t xml:space="preserve">in </w:t>
      </w:r>
      <w:r w:rsidR="006639C8">
        <w:rPr>
          <w:rFonts w:ascii="Cambria" w:hAnsi="Cambria"/>
          <w:sz w:val="24"/>
          <w:szCs w:val="24"/>
        </w:rPr>
        <w:t xml:space="preserve">FY 2026. </w:t>
      </w:r>
      <w:r w:rsidR="00A500A7">
        <w:rPr>
          <w:rFonts w:ascii="Cambria" w:hAnsi="Cambria"/>
          <w:sz w:val="24"/>
          <w:szCs w:val="24"/>
        </w:rPr>
        <w:t xml:space="preserve">Highlights of PCLOB’s </w:t>
      </w:r>
      <w:r w:rsidR="0049075B">
        <w:rPr>
          <w:rFonts w:ascii="Cambria" w:hAnsi="Cambria"/>
          <w:sz w:val="24"/>
          <w:szCs w:val="24"/>
        </w:rPr>
        <w:t>2025</w:t>
      </w:r>
      <w:r w:rsidR="00A500A7">
        <w:rPr>
          <w:rFonts w:ascii="Cambria" w:hAnsi="Cambria"/>
          <w:sz w:val="24"/>
          <w:szCs w:val="24"/>
        </w:rPr>
        <w:t xml:space="preserve"> oversight work follow:</w:t>
      </w:r>
      <w:r w:rsidR="006639C8" w:rsidRPr="006639C8">
        <w:rPr>
          <w:noProof/>
        </w:rPr>
        <w:t xml:space="preserve"> </w:t>
      </w:r>
    </w:p>
    <w:p w14:paraId="27443040" w14:textId="43C634DD" w:rsidR="004E7013" w:rsidRPr="00EE3EAB" w:rsidRDefault="004E7013" w:rsidP="004E7013">
      <w:pPr>
        <w:keepNext/>
        <w:keepLines/>
        <w:spacing w:line="276" w:lineRule="auto"/>
        <w:jc w:val="both"/>
        <w:rPr>
          <w:rFonts w:ascii="Cambria" w:hAnsi="Cambria"/>
          <w:b/>
          <w:bCs/>
          <w:sz w:val="24"/>
          <w:szCs w:val="24"/>
          <w:u w:val="single"/>
        </w:rPr>
      </w:pPr>
      <w:r w:rsidRPr="00EE3EAB">
        <w:rPr>
          <w:rFonts w:ascii="Cambria" w:hAnsi="Cambria"/>
          <w:b/>
          <w:bCs/>
          <w:sz w:val="24"/>
          <w:szCs w:val="24"/>
          <w:u w:val="single"/>
        </w:rPr>
        <w:t>Reports Published in FY 2025</w:t>
      </w:r>
    </w:p>
    <w:p w14:paraId="74FBE2A3" w14:textId="4CD1EE15" w:rsidR="000A3130" w:rsidRDefault="00892BAD" w:rsidP="00886DF2">
      <w:pPr>
        <w:numPr>
          <w:ilvl w:val="0"/>
          <w:numId w:val="4"/>
        </w:numPr>
        <w:shd w:val="clear" w:color="auto" w:fill="FFFFFF"/>
        <w:spacing w:before="240" w:after="0" w:line="276" w:lineRule="auto"/>
        <w:jc w:val="both"/>
        <w:rPr>
          <w:rFonts w:ascii="Cambria" w:eastAsia="Times New Roman" w:hAnsi="Cambria"/>
          <w:bCs/>
          <w:sz w:val="24"/>
          <w:szCs w:val="24"/>
        </w:rPr>
      </w:pPr>
      <w:r>
        <w:rPr>
          <w:rFonts w:ascii="Cambria" w:eastAsia="Times New Roman" w:hAnsi="Cambria"/>
          <w:bCs/>
          <w:noProof/>
          <w:sz w:val="24"/>
          <w:szCs w:val="24"/>
        </w:rPr>
        <w:drawing>
          <wp:anchor distT="0" distB="0" distL="114300" distR="114300" simplePos="0" relativeHeight="252093952" behindDoc="0" locked="0" layoutInCell="1" allowOverlap="1" wp14:anchorId="2D3636E0" wp14:editId="3A55496B">
            <wp:simplePos x="0" y="0"/>
            <wp:positionH relativeFrom="column">
              <wp:posOffset>451485</wp:posOffset>
            </wp:positionH>
            <wp:positionV relativeFrom="paragraph">
              <wp:posOffset>524510</wp:posOffset>
            </wp:positionV>
            <wp:extent cx="1769745" cy="2290445"/>
            <wp:effectExtent l="57150" t="57150" r="97155" b="90805"/>
            <wp:wrapSquare wrapText="bothSides"/>
            <wp:docPr id="1140291420" name="Picture 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91420" name="Picture 89" descr="A screenshot of a computer&#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69745" cy="229044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anchor>
        </w:drawing>
      </w:r>
      <w:r w:rsidR="000A3130" w:rsidRPr="004E7013">
        <w:rPr>
          <w:rFonts w:ascii="Cambria" w:eastAsia="Times New Roman" w:hAnsi="Cambria"/>
          <w:bCs/>
          <w:noProof/>
          <w:sz w:val="24"/>
          <w:szCs w:val="24"/>
        </w:rPr>
        <w:drawing>
          <wp:anchor distT="0" distB="0" distL="182880" distR="182880" simplePos="0" relativeHeight="252094976" behindDoc="0" locked="0" layoutInCell="1" allowOverlap="1" wp14:anchorId="345E47A2" wp14:editId="723DB888">
            <wp:simplePos x="0" y="0"/>
            <wp:positionH relativeFrom="margin">
              <wp:posOffset>4197350</wp:posOffset>
            </wp:positionH>
            <wp:positionV relativeFrom="paragraph">
              <wp:posOffset>3227705</wp:posOffset>
            </wp:positionV>
            <wp:extent cx="1746504" cy="2249424"/>
            <wp:effectExtent l="57150" t="57150" r="101600" b="93980"/>
            <wp:wrapSquare wrapText="bothSides"/>
            <wp:docPr id="932741569" name="Picture 90" descr="A picture containing text, book, differ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41569" name="Picture 90" descr="A picture containing text, book, different&#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46504" cy="2249424"/>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37FF9" w:rsidRPr="00933BFF">
        <w:rPr>
          <w:rFonts w:ascii="Cambria" w:eastAsia="Times New Roman" w:hAnsi="Cambria"/>
          <w:b/>
          <w:sz w:val="24"/>
          <w:szCs w:val="24"/>
        </w:rPr>
        <w:t xml:space="preserve">Report on the National Counterterrorism Center. </w:t>
      </w:r>
      <w:r w:rsidR="008D11AD" w:rsidRPr="00933BFF">
        <w:rPr>
          <w:rFonts w:ascii="Cambria" w:eastAsia="Times New Roman" w:hAnsi="Cambria"/>
          <w:bCs/>
          <w:sz w:val="24"/>
          <w:szCs w:val="24"/>
        </w:rPr>
        <w:t xml:space="preserve">PCLOB released a </w:t>
      </w:r>
      <w:hyperlink r:id="rId55" w:history="1">
        <w:r w:rsidR="008D11AD" w:rsidRPr="00933BFF">
          <w:rPr>
            <w:rStyle w:val="Hyperlink"/>
            <w:rFonts w:ascii="Cambria" w:eastAsia="Times New Roman" w:hAnsi="Cambria"/>
            <w:bCs/>
            <w:sz w:val="24"/>
            <w:szCs w:val="24"/>
          </w:rPr>
          <w:t>report</w:t>
        </w:r>
      </w:hyperlink>
      <w:r w:rsidR="008D11AD" w:rsidRPr="00933BFF">
        <w:rPr>
          <w:rFonts w:ascii="Cambria" w:eastAsia="Times New Roman" w:hAnsi="Cambria"/>
          <w:bCs/>
          <w:sz w:val="24"/>
          <w:szCs w:val="24"/>
        </w:rPr>
        <w:t xml:space="preserve"> </w:t>
      </w:r>
      <w:r w:rsidR="009E1D6C" w:rsidRPr="00933BFF">
        <w:rPr>
          <w:rFonts w:ascii="Cambria" w:eastAsia="Times New Roman" w:hAnsi="Cambria"/>
          <w:bCs/>
          <w:sz w:val="24"/>
          <w:szCs w:val="24"/>
        </w:rPr>
        <w:t xml:space="preserve">in December 2024 </w:t>
      </w:r>
      <w:r w:rsidR="008D11AD" w:rsidRPr="00933BFF">
        <w:rPr>
          <w:rFonts w:ascii="Cambria" w:eastAsia="Times New Roman" w:hAnsi="Cambria"/>
          <w:bCs/>
          <w:sz w:val="24"/>
          <w:szCs w:val="24"/>
        </w:rPr>
        <w:t xml:space="preserve">on the National Counterterrorism Center’s (NCTC) </w:t>
      </w:r>
      <w:r w:rsidR="004E7013" w:rsidRPr="00933BFF">
        <w:rPr>
          <w:rFonts w:ascii="Cambria" w:eastAsia="Times New Roman" w:hAnsi="Cambria"/>
          <w:bCs/>
          <w:sz w:val="24"/>
          <w:szCs w:val="24"/>
        </w:rPr>
        <w:t xml:space="preserve">implementation of </w:t>
      </w:r>
      <w:r w:rsidR="00394DD9">
        <w:rPr>
          <w:rFonts w:ascii="Cambria" w:eastAsia="Times New Roman" w:hAnsi="Cambria"/>
          <w:bCs/>
          <w:sz w:val="24"/>
          <w:szCs w:val="24"/>
        </w:rPr>
        <w:t xml:space="preserve">the </w:t>
      </w:r>
      <w:r w:rsidR="004E7013" w:rsidRPr="00933BFF">
        <w:rPr>
          <w:rFonts w:ascii="Cambria" w:eastAsia="Times New Roman" w:hAnsi="Cambria"/>
          <w:bCs/>
          <w:sz w:val="24"/>
          <w:szCs w:val="24"/>
        </w:rPr>
        <w:t>2012 Attorney</w:t>
      </w:r>
      <w:r w:rsidR="00886DF2">
        <w:rPr>
          <w:rFonts w:ascii="Cambria" w:eastAsia="Times New Roman" w:hAnsi="Cambria"/>
          <w:bCs/>
          <w:sz w:val="24"/>
          <w:szCs w:val="24"/>
        </w:rPr>
        <w:t xml:space="preserve"> </w:t>
      </w:r>
      <w:r w:rsidR="004E7013" w:rsidRPr="00933BFF">
        <w:rPr>
          <w:rFonts w:ascii="Cambria" w:eastAsia="Times New Roman" w:hAnsi="Cambria"/>
          <w:bCs/>
          <w:sz w:val="24"/>
          <w:szCs w:val="24"/>
        </w:rPr>
        <w:t>General</w:t>
      </w:r>
      <w:r w:rsidR="00886DF2">
        <w:rPr>
          <w:rFonts w:ascii="Cambria" w:eastAsia="Times New Roman" w:hAnsi="Cambria"/>
          <w:bCs/>
          <w:sz w:val="24"/>
          <w:szCs w:val="24"/>
        </w:rPr>
        <w:t>-</w:t>
      </w:r>
      <w:r w:rsidR="004E7013" w:rsidRPr="00933BFF">
        <w:rPr>
          <w:rFonts w:ascii="Cambria" w:eastAsia="Times New Roman" w:hAnsi="Cambria"/>
          <w:bCs/>
          <w:sz w:val="24"/>
          <w:szCs w:val="24"/>
        </w:rPr>
        <w:t xml:space="preserve">approved guidelines designed to govern NCTC’s </w:t>
      </w:r>
      <w:r w:rsidR="008D11AD" w:rsidRPr="00933BFF">
        <w:rPr>
          <w:rFonts w:ascii="Cambria" w:eastAsia="Times New Roman" w:hAnsi="Cambria"/>
          <w:bCs/>
          <w:sz w:val="24"/>
          <w:szCs w:val="24"/>
        </w:rPr>
        <w:t>access to and handling of datasets containing non-terrorism information. The report assesse</w:t>
      </w:r>
      <w:r w:rsidR="00394DD9">
        <w:rPr>
          <w:rFonts w:ascii="Cambria" w:eastAsia="Times New Roman" w:hAnsi="Cambria"/>
          <w:bCs/>
          <w:sz w:val="24"/>
          <w:szCs w:val="24"/>
        </w:rPr>
        <w:t>d</w:t>
      </w:r>
      <w:r w:rsidR="008D11AD" w:rsidRPr="00933BFF">
        <w:rPr>
          <w:rFonts w:ascii="Cambria" w:eastAsia="Times New Roman" w:hAnsi="Cambria"/>
          <w:bCs/>
          <w:sz w:val="24"/>
          <w:szCs w:val="24"/>
        </w:rPr>
        <w:t xml:space="preserve"> whether NCTC’s </w:t>
      </w:r>
      <w:r w:rsidR="004E7013" w:rsidRPr="00933BFF">
        <w:rPr>
          <w:rFonts w:ascii="Cambria" w:eastAsia="Times New Roman" w:hAnsi="Cambria"/>
          <w:bCs/>
          <w:sz w:val="24"/>
          <w:szCs w:val="24"/>
        </w:rPr>
        <w:t xml:space="preserve">implementing </w:t>
      </w:r>
      <w:r w:rsidR="008D11AD" w:rsidRPr="00933BFF">
        <w:rPr>
          <w:rFonts w:ascii="Cambria" w:eastAsia="Times New Roman" w:hAnsi="Cambria"/>
          <w:bCs/>
          <w:sz w:val="24"/>
          <w:szCs w:val="24"/>
        </w:rPr>
        <w:t xml:space="preserve">policies and practices concerning such materials </w:t>
      </w:r>
      <w:r w:rsidR="004E7013" w:rsidRPr="00933BFF">
        <w:rPr>
          <w:rFonts w:ascii="Cambria" w:eastAsia="Times New Roman" w:hAnsi="Cambria"/>
          <w:bCs/>
          <w:sz w:val="24"/>
          <w:szCs w:val="24"/>
        </w:rPr>
        <w:t xml:space="preserve">under the guidelines </w:t>
      </w:r>
      <w:r w:rsidR="008D11AD" w:rsidRPr="00933BFF">
        <w:rPr>
          <w:rFonts w:ascii="Cambria" w:eastAsia="Times New Roman" w:hAnsi="Cambria"/>
          <w:bCs/>
          <w:sz w:val="24"/>
          <w:szCs w:val="24"/>
        </w:rPr>
        <w:t xml:space="preserve">are consistent with governing laws, regulations, and policies and appropriately balance privacy and civil liberties interests with national security interests relating to </w:t>
      </w:r>
      <w:r w:rsidR="00382F72">
        <w:rPr>
          <w:rFonts w:ascii="Cambria" w:eastAsia="Times New Roman" w:hAnsi="Cambria"/>
          <w:bCs/>
          <w:sz w:val="24"/>
          <w:szCs w:val="24"/>
        </w:rPr>
        <w:t>counterterrorism</w:t>
      </w:r>
      <w:r w:rsidR="008D11AD" w:rsidRPr="00933BFF">
        <w:rPr>
          <w:rFonts w:ascii="Cambria" w:eastAsia="Times New Roman" w:hAnsi="Cambria"/>
          <w:bCs/>
          <w:sz w:val="24"/>
          <w:szCs w:val="24"/>
        </w:rPr>
        <w:t>.</w:t>
      </w:r>
      <w:r w:rsidR="00886DF2">
        <w:rPr>
          <w:rFonts w:ascii="Cambria" w:eastAsia="Times New Roman" w:hAnsi="Cambria"/>
          <w:bCs/>
          <w:sz w:val="24"/>
          <w:szCs w:val="24"/>
        </w:rPr>
        <w:t xml:space="preserve"> The report included recommendations </w:t>
      </w:r>
      <w:r w:rsidR="00886DF2" w:rsidRPr="00886DF2">
        <w:rPr>
          <w:rFonts w:ascii="Cambria" w:eastAsia="Times New Roman" w:hAnsi="Cambria"/>
          <w:bCs/>
          <w:sz w:val="24"/>
          <w:szCs w:val="24"/>
        </w:rPr>
        <w:t xml:space="preserve">to guide </w:t>
      </w:r>
      <w:r w:rsidR="00886DF2">
        <w:rPr>
          <w:rFonts w:ascii="Cambria" w:eastAsia="Times New Roman" w:hAnsi="Cambria"/>
          <w:bCs/>
          <w:sz w:val="24"/>
          <w:szCs w:val="24"/>
        </w:rPr>
        <w:t xml:space="preserve">the </w:t>
      </w:r>
      <w:r w:rsidR="00886DF2" w:rsidRPr="00886DF2">
        <w:rPr>
          <w:rFonts w:ascii="Cambria" w:eastAsia="Times New Roman" w:hAnsi="Cambria"/>
          <w:bCs/>
          <w:sz w:val="24"/>
          <w:szCs w:val="24"/>
        </w:rPr>
        <w:t>Office of the Director of National Intelligence and NCTC as NCTC continues its efforts to apply the</w:t>
      </w:r>
      <w:r w:rsidR="00886DF2">
        <w:rPr>
          <w:rFonts w:ascii="Cambria" w:eastAsia="Times New Roman" w:hAnsi="Cambria"/>
          <w:bCs/>
          <w:sz w:val="24"/>
          <w:szCs w:val="24"/>
        </w:rPr>
        <w:t xml:space="preserve"> </w:t>
      </w:r>
      <w:r w:rsidR="00886DF2" w:rsidRPr="00886DF2">
        <w:rPr>
          <w:rFonts w:ascii="Cambria" w:eastAsia="Times New Roman" w:hAnsi="Cambria"/>
          <w:bCs/>
          <w:sz w:val="24"/>
          <w:szCs w:val="24"/>
        </w:rPr>
        <w:t xml:space="preserve">requirements of the </w:t>
      </w:r>
      <w:r w:rsidR="00886DF2">
        <w:rPr>
          <w:rFonts w:ascii="Cambria" w:eastAsia="Times New Roman" w:hAnsi="Cambria"/>
          <w:bCs/>
          <w:sz w:val="24"/>
          <w:szCs w:val="24"/>
        </w:rPr>
        <w:t>guidelines and implementation procedures.</w:t>
      </w:r>
    </w:p>
    <w:p w14:paraId="7688709C" w14:textId="175ED4F9" w:rsidR="008D11AD" w:rsidRPr="00AA05E1" w:rsidRDefault="000A3130" w:rsidP="00886DF2">
      <w:pPr>
        <w:numPr>
          <w:ilvl w:val="0"/>
          <w:numId w:val="4"/>
        </w:numPr>
        <w:shd w:val="clear" w:color="auto" w:fill="FFFFFF"/>
        <w:spacing w:before="240" w:after="0" w:line="276" w:lineRule="auto"/>
        <w:jc w:val="both"/>
        <w:rPr>
          <w:rFonts w:ascii="Cambria" w:eastAsia="Times New Roman" w:hAnsi="Cambria"/>
          <w:bCs/>
          <w:sz w:val="24"/>
          <w:szCs w:val="24"/>
        </w:rPr>
      </w:pPr>
      <w:r w:rsidRPr="002304B4">
        <w:rPr>
          <w:rFonts w:ascii="Cambria" w:hAnsi="Cambria"/>
          <w:b/>
          <w:sz w:val="24"/>
          <w:szCs w:val="24"/>
        </w:rPr>
        <w:t xml:space="preserve">Assessment and Recommendations: Authorities Addressing Foreign Racially Motivated Extremism </w:t>
      </w:r>
      <w:r w:rsidR="003524E7">
        <w:rPr>
          <w:rFonts w:ascii="Cambria" w:hAnsi="Cambria"/>
          <w:b/>
          <w:sz w:val="24"/>
          <w:szCs w:val="24"/>
        </w:rPr>
        <w:t>and</w:t>
      </w:r>
      <w:r w:rsidRPr="002304B4">
        <w:rPr>
          <w:rFonts w:ascii="Cambria" w:hAnsi="Cambria"/>
          <w:b/>
          <w:sz w:val="24"/>
          <w:szCs w:val="24"/>
        </w:rPr>
        <w:t xml:space="preserve"> Privacy and Civil Liberties Impacts</w:t>
      </w:r>
      <w:r w:rsidRPr="002304B4">
        <w:rPr>
          <w:rFonts w:ascii="Cambria" w:eastAsia="Times New Roman" w:hAnsi="Cambria"/>
          <w:bCs/>
          <w:sz w:val="24"/>
          <w:szCs w:val="24"/>
        </w:rPr>
        <w:t>.</w:t>
      </w:r>
      <w:r w:rsidRPr="002304B4">
        <w:rPr>
          <w:rFonts w:ascii="Cambria" w:eastAsia="Times New Roman" w:hAnsi="Cambria"/>
          <w:b/>
          <w:sz w:val="24"/>
          <w:szCs w:val="24"/>
        </w:rPr>
        <w:t xml:space="preserve"> </w:t>
      </w:r>
      <w:r w:rsidRPr="002304B4">
        <w:rPr>
          <w:rFonts w:ascii="Cambria" w:eastAsia="Times New Roman" w:hAnsi="Cambria"/>
          <w:bCs/>
          <w:sz w:val="24"/>
          <w:szCs w:val="24"/>
        </w:rPr>
        <w:t>In</w:t>
      </w:r>
      <w:r w:rsidRPr="000201F2">
        <w:rPr>
          <w:rFonts w:ascii="Cambria" w:eastAsia="Times New Roman" w:hAnsi="Cambria"/>
          <w:bCs/>
          <w:sz w:val="24"/>
          <w:szCs w:val="24"/>
        </w:rPr>
        <w:t xml:space="preserve"> January 2025, PCLOB released a </w:t>
      </w:r>
      <w:hyperlink r:id="rId56" w:history="1">
        <w:r w:rsidRPr="000201F2">
          <w:rPr>
            <w:rStyle w:val="Hyperlink"/>
            <w:rFonts w:ascii="Cambria" w:eastAsia="Times New Roman" w:hAnsi="Cambria"/>
            <w:bCs/>
            <w:sz w:val="24"/>
            <w:szCs w:val="24"/>
          </w:rPr>
          <w:t>report</w:t>
        </w:r>
      </w:hyperlink>
      <w:r w:rsidRPr="000201F2">
        <w:rPr>
          <w:rFonts w:ascii="Cambria" w:eastAsia="Times New Roman" w:hAnsi="Cambria"/>
          <w:bCs/>
          <w:sz w:val="24"/>
          <w:szCs w:val="24"/>
        </w:rPr>
        <w:t xml:space="preserve"> </w:t>
      </w:r>
      <w:r>
        <w:rPr>
          <w:rFonts w:ascii="Cambria" w:eastAsia="Times New Roman" w:hAnsi="Cambria"/>
          <w:bCs/>
          <w:sz w:val="24"/>
          <w:szCs w:val="24"/>
        </w:rPr>
        <w:t xml:space="preserve">that </w:t>
      </w:r>
      <w:r w:rsidRPr="000201F2">
        <w:rPr>
          <w:rFonts w:ascii="Cambria" w:eastAsia="Times New Roman" w:hAnsi="Cambria"/>
          <w:bCs/>
          <w:sz w:val="24"/>
          <w:szCs w:val="24"/>
        </w:rPr>
        <w:t>assess</w:t>
      </w:r>
      <w:r>
        <w:rPr>
          <w:rFonts w:ascii="Cambria" w:eastAsia="Times New Roman" w:hAnsi="Cambria"/>
          <w:bCs/>
          <w:sz w:val="24"/>
          <w:szCs w:val="24"/>
        </w:rPr>
        <w:t>ed</w:t>
      </w:r>
      <w:r w:rsidRPr="000201F2">
        <w:rPr>
          <w:rFonts w:ascii="Cambria" w:eastAsia="Times New Roman" w:hAnsi="Cambria"/>
          <w:bCs/>
          <w:sz w:val="24"/>
          <w:szCs w:val="24"/>
        </w:rPr>
        <w:t xml:space="preserve"> the impacts on the privacy and civil liberties of </w:t>
      </w:r>
      <w:r>
        <w:rPr>
          <w:rFonts w:ascii="Cambria" w:eastAsia="Times New Roman" w:hAnsi="Cambria"/>
          <w:bCs/>
          <w:sz w:val="24"/>
          <w:szCs w:val="24"/>
        </w:rPr>
        <w:t>U.S. persons</w:t>
      </w:r>
      <w:r w:rsidRPr="000201F2">
        <w:rPr>
          <w:rFonts w:ascii="Cambria" w:eastAsia="Times New Roman" w:hAnsi="Cambria"/>
          <w:bCs/>
          <w:sz w:val="24"/>
          <w:szCs w:val="24"/>
        </w:rPr>
        <w:t xml:space="preserve"> concerning</w:t>
      </w:r>
      <w:r w:rsidRPr="009E1D6C">
        <w:rPr>
          <w:rFonts w:ascii="Cambria" w:eastAsia="Times New Roman" w:hAnsi="Cambria"/>
          <w:bCs/>
          <w:sz w:val="24"/>
          <w:szCs w:val="24"/>
        </w:rPr>
        <w:t xml:space="preserve"> the use or recommended use of any federal laws, regulations, and</w:t>
      </w:r>
      <w:r>
        <w:rPr>
          <w:rFonts w:ascii="Cambria" w:eastAsia="Times New Roman" w:hAnsi="Cambria"/>
          <w:bCs/>
          <w:sz w:val="24"/>
          <w:szCs w:val="24"/>
        </w:rPr>
        <w:t xml:space="preserve"> </w:t>
      </w:r>
      <w:r w:rsidRPr="009E1D6C">
        <w:rPr>
          <w:rFonts w:ascii="Cambria" w:eastAsia="Times New Roman" w:hAnsi="Cambria"/>
          <w:bCs/>
          <w:sz w:val="24"/>
          <w:szCs w:val="24"/>
        </w:rPr>
        <w:t xml:space="preserve">policies to address significant threats to the United States and </w:t>
      </w:r>
      <w:r>
        <w:rPr>
          <w:rFonts w:ascii="Cambria" w:eastAsia="Times New Roman" w:hAnsi="Cambria"/>
          <w:bCs/>
          <w:sz w:val="24"/>
          <w:szCs w:val="24"/>
        </w:rPr>
        <w:t xml:space="preserve">to U.S. </w:t>
      </w:r>
      <w:r w:rsidRPr="00AA05E1">
        <w:rPr>
          <w:rFonts w:ascii="Cambria" w:eastAsia="Times New Roman" w:hAnsi="Cambria"/>
          <w:bCs/>
          <w:sz w:val="24"/>
          <w:szCs w:val="24"/>
        </w:rPr>
        <w:t xml:space="preserve">persons associated with foreign racially motivated </w:t>
      </w:r>
      <w:r w:rsidRPr="00AA05E1">
        <w:rPr>
          <w:rFonts w:ascii="Cambria" w:eastAsia="Times New Roman" w:hAnsi="Cambria"/>
          <w:bCs/>
          <w:sz w:val="24"/>
          <w:szCs w:val="24"/>
        </w:rPr>
        <w:lastRenderedPageBreak/>
        <w:t xml:space="preserve">violent extremist organizations. The report, which included recommendations on options to develop protections to mitigate such impacts, was issued in response to Section 824 of the Consolidated Appropriations Act of 2022. PCLOB issued an </w:t>
      </w:r>
      <w:hyperlink r:id="rId57" w:history="1">
        <w:r w:rsidRPr="00AA05E1">
          <w:rPr>
            <w:rStyle w:val="Hyperlink"/>
            <w:rFonts w:ascii="Cambria" w:eastAsia="Times New Roman" w:hAnsi="Cambria"/>
            <w:bCs/>
            <w:sz w:val="24"/>
            <w:szCs w:val="24"/>
          </w:rPr>
          <w:t>addendum</w:t>
        </w:r>
      </w:hyperlink>
      <w:r w:rsidRPr="00AA05E1">
        <w:rPr>
          <w:rFonts w:ascii="Cambria" w:eastAsia="Times New Roman" w:hAnsi="Cambria"/>
          <w:bCs/>
          <w:sz w:val="24"/>
          <w:szCs w:val="24"/>
        </w:rPr>
        <w:t xml:space="preserve"> to this report in July 2025.</w:t>
      </w:r>
    </w:p>
    <w:p w14:paraId="006EBD98" w14:textId="530E67CB" w:rsidR="00223DEC" w:rsidRPr="00AA05E1" w:rsidRDefault="000A3130" w:rsidP="000A3130">
      <w:pPr>
        <w:numPr>
          <w:ilvl w:val="0"/>
          <w:numId w:val="4"/>
        </w:numPr>
        <w:shd w:val="clear" w:color="auto" w:fill="FFFFFF"/>
        <w:spacing w:before="240" w:after="0" w:line="276" w:lineRule="auto"/>
        <w:jc w:val="both"/>
        <w:rPr>
          <w:rFonts w:ascii="Cambria" w:eastAsia="Times New Roman" w:hAnsi="Cambria"/>
          <w:bCs/>
          <w:sz w:val="24"/>
          <w:szCs w:val="24"/>
          <w:u w:val="single"/>
        </w:rPr>
      </w:pPr>
      <w:r w:rsidRPr="009F6A9A">
        <w:rPr>
          <w:rFonts w:ascii="Cambria" w:eastAsia="Times New Roman" w:hAnsi="Cambria"/>
          <w:bCs/>
          <w:noProof/>
          <w:sz w:val="24"/>
          <w:szCs w:val="24"/>
        </w:rPr>
        <w:drawing>
          <wp:anchor distT="0" distB="0" distL="114300" distR="114300" simplePos="0" relativeHeight="252096000" behindDoc="0" locked="0" layoutInCell="1" allowOverlap="1" wp14:anchorId="36C5B99B" wp14:editId="71B406E9">
            <wp:simplePos x="0" y="0"/>
            <wp:positionH relativeFrom="margin">
              <wp:posOffset>4213225</wp:posOffset>
            </wp:positionH>
            <wp:positionV relativeFrom="paragraph">
              <wp:posOffset>248920</wp:posOffset>
            </wp:positionV>
            <wp:extent cx="1735455" cy="2185035"/>
            <wp:effectExtent l="57150" t="57150" r="93345" b="100965"/>
            <wp:wrapSquare wrapText="bothSides"/>
            <wp:docPr id="89243864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38649" name="Picture 1" descr="Diagram&#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35455" cy="218503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23DEC" w:rsidRPr="00AA05E1">
        <w:rPr>
          <w:rFonts w:ascii="Cambria" w:eastAsia="Times New Roman" w:hAnsi="Cambria"/>
          <w:b/>
          <w:sz w:val="24"/>
          <w:szCs w:val="24"/>
        </w:rPr>
        <w:t>Terrorist Watchlist.</w:t>
      </w:r>
      <w:r w:rsidR="00223DEC" w:rsidRPr="00AA05E1">
        <w:rPr>
          <w:rFonts w:ascii="Cambria" w:eastAsia="Times New Roman" w:hAnsi="Cambria"/>
          <w:bCs/>
          <w:sz w:val="24"/>
          <w:szCs w:val="24"/>
        </w:rPr>
        <w:t xml:space="preserve"> </w:t>
      </w:r>
      <w:r w:rsidR="007B24F2" w:rsidRPr="00AA05E1">
        <w:rPr>
          <w:rFonts w:ascii="Cambria" w:eastAsia="Times New Roman" w:hAnsi="Cambria"/>
          <w:bCs/>
          <w:sz w:val="24"/>
          <w:szCs w:val="24"/>
        </w:rPr>
        <w:t xml:space="preserve">PCLOB released a </w:t>
      </w:r>
      <w:hyperlink r:id="rId59" w:history="1">
        <w:r w:rsidR="007B24F2" w:rsidRPr="00AA05E1">
          <w:rPr>
            <w:rStyle w:val="Hyperlink"/>
            <w:rFonts w:ascii="Cambria" w:eastAsia="Times New Roman" w:hAnsi="Cambria"/>
            <w:bCs/>
            <w:sz w:val="24"/>
            <w:szCs w:val="24"/>
          </w:rPr>
          <w:t>report</w:t>
        </w:r>
      </w:hyperlink>
      <w:r w:rsidR="007B24F2" w:rsidRPr="00AA05E1">
        <w:rPr>
          <w:rFonts w:ascii="Cambria" w:eastAsia="Times New Roman" w:hAnsi="Cambria"/>
          <w:bCs/>
          <w:sz w:val="24"/>
          <w:szCs w:val="24"/>
        </w:rPr>
        <w:t xml:space="preserve"> in January 2025 on the Terrorist Screening Data</w:t>
      </w:r>
      <w:r w:rsidR="00C04398" w:rsidRPr="00AA05E1">
        <w:rPr>
          <w:rFonts w:ascii="Cambria" w:eastAsia="Times New Roman" w:hAnsi="Cambria"/>
          <w:bCs/>
          <w:sz w:val="24"/>
          <w:szCs w:val="24"/>
        </w:rPr>
        <w:t>set</w:t>
      </w:r>
      <w:r w:rsidR="007B24F2" w:rsidRPr="00AA05E1">
        <w:rPr>
          <w:rFonts w:ascii="Cambria" w:eastAsia="Times New Roman" w:hAnsi="Cambria"/>
          <w:bCs/>
          <w:sz w:val="24"/>
          <w:szCs w:val="24"/>
        </w:rPr>
        <w:t xml:space="preserve">, commonly </w:t>
      </w:r>
      <w:r w:rsidR="000722CB" w:rsidRPr="00AA05E1">
        <w:rPr>
          <w:rFonts w:ascii="Cambria" w:eastAsia="Times New Roman" w:hAnsi="Cambria"/>
          <w:bCs/>
          <w:sz w:val="24"/>
          <w:szCs w:val="24"/>
        </w:rPr>
        <w:t xml:space="preserve">referred to as </w:t>
      </w:r>
      <w:r w:rsidR="007B24F2" w:rsidRPr="00AA05E1">
        <w:rPr>
          <w:rFonts w:ascii="Cambria" w:eastAsia="Times New Roman" w:hAnsi="Cambria"/>
          <w:bCs/>
          <w:sz w:val="24"/>
          <w:szCs w:val="24"/>
        </w:rPr>
        <w:t xml:space="preserve">the Terrorist Watchlist. The report </w:t>
      </w:r>
      <w:r w:rsidR="002011C9" w:rsidRPr="00AA05E1">
        <w:rPr>
          <w:rFonts w:ascii="Cambria" w:eastAsia="Times New Roman" w:hAnsi="Cambria"/>
          <w:bCs/>
          <w:sz w:val="24"/>
          <w:szCs w:val="24"/>
        </w:rPr>
        <w:t>provide</w:t>
      </w:r>
      <w:r w:rsidR="00610E58" w:rsidRPr="00AA05E1">
        <w:rPr>
          <w:rFonts w:ascii="Cambria" w:eastAsia="Times New Roman" w:hAnsi="Cambria"/>
          <w:bCs/>
          <w:sz w:val="24"/>
          <w:szCs w:val="24"/>
        </w:rPr>
        <w:t>d</w:t>
      </w:r>
      <w:r w:rsidR="002011C9" w:rsidRPr="00AA05E1">
        <w:rPr>
          <w:rFonts w:ascii="Cambria" w:eastAsia="Times New Roman" w:hAnsi="Cambria"/>
          <w:bCs/>
          <w:sz w:val="24"/>
          <w:szCs w:val="24"/>
        </w:rPr>
        <w:t xml:space="preserve"> historical background of the Watchlist, </w:t>
      </w:r>
      <w:r w:rsidR="00610E58" w:rsidRPr="00AA05E1">
        <w:rPr>
          <w:rFonts w:ascii="Cambria" w:eastAsia="Times New Roman" w:hAnsi="Cambria"/>
          <w:bCs/>
          <w:sz w:val="24"/>
          <w:szCs w:val="24"/>
        </w:rPr>
        <w:t xml:space="preserve">described </w:t>
      </w:r>
      <w:r w:rsidR="007B24F2" w:rsidRPr="00AA05E1">
        <w:rPr>
          <w:rFonts w:ascii="Cambria" w:eastAsia="Times New Roman" w:hAnsi="Cambria"/>
          <w:bCs/>
          <w:sz w:val="24"/>
          <w:szCs w:val="24"/>
        </w:rPr>
        <w:t xml:space="preserve">the </w:t>
      </w:r>
      <w:r w:rsidR="002011C9" w:rsidRPr="00AA05E1">
        <w:rPr>
          <w:rFonts w:ascii="Cambria" w:eastAsia="Times New Roman" w:hAnsi="Cambria"/>
          <w:bCs/>
          <w:sz w:val="24"/>
          <w:szCs w:val="24"/>
        </w:rPr>
        <w:t xml:space="preserve">government’s standards to nominate to and remove individuals from the Watchlist, and </w:t>
      </w:r>
      <w:r w:rsidR="00610E58" w:rsidRPr="00AA05E1">
        <w:rPr>
          <w:rFonts w:ascii="Cambria" w:eastAsia="Times New Roman" w:hAnsi="Cambria"/>
          <w:bCs/>
          <w:sz w:val="24"/>
          <w:szCs w:val="24"/>
        </w:rPr>
        <w:t xml:space="preserve">explained </w:t>
      </w:r>
      <w:r w:rsidR="007B24F2" w:rsidRPr="00AA05E1">
        <w:rPr>
          <w:rFonts w:ascii="Cambria" w:eastAsia="Times New Roman" w:hAnsi="Cambria"/>
          <w:bCs/>
          <w:sz w:val="24"/>
          <w:szCs w:val="24"/>
        </w:rPr>
        <w:t>redress processes</w:t>
      </w:r>
      <w:r w:rsidR="002011C9" w:rsidRPr="00AA05E1">
        <w:rPr>
          <w:rFonts w:ascii="Cambria" w:eastAsia="Times New Roman" w:hAnsi="Cambria"/>
          <w:bCs/>
          <w:sz w:val="24"/>
          <w:szCs w:val="24"/>
        </w:rPr>
        <w:t>. The report</w:t>
      </w:r>
      <w:r w:rsidR="007B24F2" w:rsidRPr="00AA05E1">
        <w:rPr>
          <w:rFonts w:ascii="Cambria" w:eastAsia="Times New Roman" w:hAnsi="Cambria"/>
          <w:bCs/>
          <w:sz w:val="24"/>
          <w:szCs w:val="24"/>
        </w:rPr>
        <w:t xml:space="preserve"> </w:t>
      </w:r>
      <w:r w:rsidR="00610E58" w:rsidRPr="00AA05E1">
        <w:rPr>
          <w:rFonts w:ascii="Cambria" w:eastAsia="Times New Roman" w:hAnsi="Cambria"/>
          <w:bCs/>
          <w:sz w:val="24"/>
          <w:szCs w:val="24"/>
        </w:rPr>
        <w:t xml:space="preserve">included </w:t>
      </w:r>
      <w:r w:rsidR="002011C9" w:rsidRPr="00AA05E1">
        <w:rPr>
          <w:rFonts w:ascii="Cambria" w:eastAsia="Times New Roman" w:hAnsi="Cambria"/>
          <w:bCs/>
          <w:sz w:val="24"/>
          <w:szCs w:val="24"/>
        </w:rPr>
        <w:t xml:space="preserve">seven </w:t>
      </w:r>
      <w:r w:rsidR="007B24F2" w:rsidRPr="00AA05E1">
        <w:rPr>
          <w:rFonts w:ascii="Cambria" w:eastAsia="Times New Roman" w:hAnsi="Cambria"/>
          <w:bCs/>
          <w:sz w:val="24"/>
          <w:szCs w:val="24"/>
        </w:rPr>
        <w:t>recommendations for program improvements to enhance privacy and civil liberties safeguards.</w:t>
      </w:r>
      <w:r w:rsidR="009F6A9A" w:rsidRPr="00AA05E1">
        <w:rPr>
          <w:rFonts w:ascii="Cambria" w:hAnsi="Cambria"/>
          <w:noProof/>
          <w:sz w:val="24"/>
          <w:szCs w:val="24"/>
        </w:rPr>
        <w:t xml:space="preserve"> </w:t>
      </w:r>
      <w:r w:rsidR="009F6A9A" w:rsidRPr="00AA05E1" w:rsidDel="007B24F2">
        <w:rPr>
          <w:rFonts w:ascii="Cambria" w:eastAsia="Times New Roman" w:hAnsi="Cambria"/>
          <w:bCs/>
          <w:sz w:val="24"/>
          <w:szCs w:val="24"/>
        </w:rPr>
        <w:t xml:space="preserve"> </w:t>
      </w:r>
    </w:p>
    <w:p w14:paraId="5EF07534" w14:textId="64230E6C" w:rsidR="00863A6E" w:rsidRPr="00AA05E1" w:rsidRDefault="00863A6E" w:rsidP="00863A6E">
      <w:pPr>
        <w:numPr>
          <w:ilvl w:val="0"/>
          <w:numId w:val="4"/>
        </w:numPr>
        <w:spacing w:before="240" w:after="0" w:line="276" w:lineRule="auto"/>
        <w:jc w:val="both"/>
        <w:rPr>
          <w:rFonts w:ascii="Cambria" w:eastAsia="Times New Roman" w:hAnsi="Cambria"/>
          <w:bCs/>
          <w:sz w:val="24"/>
          <w:szCs w:val="24"/>
        </w:rPr>
      </w:pPr>
      <w:r w:rsidRPr="00AA05E1">
        <w:rPr>
          <w:rFonts w:ascii="Cambria" w:eastAsia="Times New Roman" w:hAnsi="Cambria"/>
          <w:b/>
          <w:noProof/>
          <w:sz w:val="24"/>
          <w:szCs w:val="24"/>
        </w:rPr>
        <w:t xml:space="preserve">Facial Recognition </w:t>
      </w:r>
      <w:r w:rsidR="00A04921">
        <w:rPr>
          <w:rFonts w:ascii="Cambria" w:eastAsia="Times New Roman" w:hAnsi="Cambria"/>
          <w:b/>
          <w:noProof/>
          <w:sz w:val="24"/>
          <w:szCs w:val="24"/>
        </w:rPr>
        <w:t xml:space="preserve">Technology </w:t>
      </w:r>
      <w:r w:rsidRPr="00AA05E1">
        <w:rPr>
          <w:rFonts w:ascii="Cambria" w:eastAsia="Times New Roman" w:hAnsi="Cambria"/>
          <w:b/>
          <w:noProof/>
          <w:sz w:val="24"/>
          <w:szCs w:val="24"/>
        </w:rPr>
        <w:t>in Aviation Security.</w:t>
      </w:r>
      <w:r w:rsidRPr="00AA05E1">
        <w:rPr>
          <w:rFonts w:ascii="Cambria" w:eastAsia="Times New Roman" w:hAnsi="Cambria"/>
          <w:bCs/>
          <w:sz w:val="24"/>
          <w:szCs w:val="24"/>
        </w:rPr>
        <w:t xml:space="preserve"> PCLOB released a </w:t>
      </w:r>
      <w:hyperlink r:id="rId60" w:history="1">
        <w:r w:rsidRPr="00AA05E1">
          <w:rPr>
            <w:rStyle w:val="Hyperlink"/>
            <w:rFonts w:ascii="Cambria" w:eastAsia="Times New Roman" w:hAnsi="Cambria"/>
            <w:bCs/>
            <w:sz w:val="24"/>
            <w:szCs w:val="24"/>
          </w:rPr>
          <w:t>report</w:t>
        </w:r>
      </w:hyperlink>
      <w:r w:rsidRPr="00AA05E1">
        <w:rPr>
          <w:rFonts w:ascii="Cambria" w:eastAsia="Times New Roman" w:hAnsi="Cambria"/>
          <w:bCs/>
          <w:sz w:val="24"/>
          <w:szCs w:val="24"/>
        </w:rPr>
        <w:t xml:space="preserve"> in May 2025 evaluating the use of facial recognition technology (FRT) by the Transportation Security Administration (TSA). The report </w:t>
      </w:r>
      <w:r w:rsidR="00610E58" w:rsidRPr="00AA05E1">
        <w:rPr>
          <w:rFonts w:ascii="Cambria" w:eastAsia="Times New Roman" w:hAnsi="Cambria"/>
          <w:bCs/>
          <w:sz w:val="24"/>
          <w:szCs w:val="24"/>
        </w:rPr>
        <w:t xml:space="preserve">described </w:t>
      </w:r>
      <w:r w:rsidRPr="00AA05E1">
        <w:rPr>
          <w:rFonts w:ascii="Cambria" w:eastAsia="Times New Roman" w:hAnsi="Cambria"/>
          <w:bCs/>
          <w:sz w:val="24"/>
          <w:szCs w:val="24"/>
        </w:rPr>
        <w:t xml:space="preserve">the operations of FRT at domestic security checkpoints, </w:t>
      </w:r>
      <w:r w:rsidR="00610E58" w:rsidRPr="00AA05E1">
        <w:rPr>
          <w:rFonts w:ascii="Cambria" w:eastAsia="Times New Roman" w:hAnsi="Cambria"/>
          <w:bCs/>
          <w:sz w:val="24"/>
          <w:szCs w:val="24"/>
        </w:rPr>
        <w:t xml:space="preserve">discussed </w:t>
      </w:r>
      <w:r w:rsidRPr="00AA05E1">
        <w:rPr>
          <w:rFonts w:ascii="Cambria" w:eastAsia="Times New Roman" w:hAnsi="Cambria"/>
          <w:bCs/>
          <w:sz w:val="24"/>
          <w:szCs w:val="24"/>
        </w:rPr>
        <w:t xml:space="preserve">risks to privacy and civil liberties and how TSA addresses those risks, and </w:t>
      </w:r>
      <w:r w:rsidR="00610E58" w:rsidRPr="00AA05E1">
        <w:rPr>
          <w:rFonts w:ascii="Cambria" w:eastAsia="Times New Roman" w:hAnsi="Cambria"/>
          <w:bCs/>
          <w:sz w:val="24"/>
          <w:szCs w:val="24"/>
        </w:rPr>
        <w:t xml:space="preserve">made </w:t>
      </w:r>
      <w:r w:rsidRPr="00AA05E1">
        <w:rPr>
          <w:rFonts w:ascii="Cambria" w:eastAsia="Times New Roman" w:hAnsi="Cambria"/>
          <w:bCs/>
          <w:sz w:val="24"/>
          <w:szCs w:val="24"/>
        </w:rPr>
        <w:t>recommendations to further improve the program.</w:t>
      </w:r>
    </w:p>
    <w:p w14:paraId="333059C8" w14:textId="549AE6EB" w:rsidR="008C2417" w:rsidRDefault="008244C7" w:rsidP="00EE3EAB">
      <w:pPr>
        <w:pStyle w:val="ListParagraph"/>
        <w:numPr>
          <w:ilvl w:val="0"/>
          <w:numId w:val="4"/>
        </w:numPr>
        <w:spacing w:before="240" w:after="0" w:line="276" w:lineRule="auto"/>
        <w:contextualSpacing w:val="0"/>
        <w:jc w:val="both"/>
        <w:rPr>
          <w:rFonts w:ascii="Cambria" w:eastAsia="Times New Roman" w:hAnsi="Cambria" w:cstheme="minorHAnsi"/>
          <w:bCs/>
          <w:sz w:val="24"/>
          <w:szCs w:val="24"/>
        </w:rPr>
      </w:pPr>
      <w:r w:rsidRPr="00620744">
        <w:rPr>
          <w:rFonts w:ascii="Cambria" w:eastAsia="Times New Roman" w:hAnsi="Cambria" w:cstheme="minorHAnsi"/>
          <w:b/>
          <w:noProof/>
          <w:sz w:val="24"/>
          <w:szCs w:val="24"/>
        </w:rPr>
        <w:drawing>
          <wp:anchor distT="0" distB="0" distL="114300" distR="114300" simplePos="0" relativeHeight="252129792" behindDoc="0" locked="0" layoutInCell="1" allowOverlap="1" wp14:anchorId="2A9F2810" wp14:editId="0B836158">
            <wp:simplePos x="0" y="0"/>
            <wp:positionH relativeFrom="column">
              <wp:posOffset>466090</wp:posOffset>
            </wp:positionH>
            <wp:positionV relativeFrom="paragraph">
              <wp:posOffset>805180</wp:posOffset>
            </wp:positionV>
            <wp:extent cx="1719072" cy="2176272"/>
            <wp:effectExtent l="57150" t="57150" r="90805" b="90805"/>
            <wp:wrapSquare wrapText="bothSides"/>
            <wp:docPr id="1266997847"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97847" name="Picture 1" descr="A picture containing diagram&#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19072" cy="2176272"/>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C2417" w:rsidRPr="00620744">
        <w:rPr>
          <w:rFonts w:ascii="Cambria" w:eastAsia="Times New Roman" w:hAnsi="Cambria" w:cstheme="minorHAnsi"/>
          <w:b/>
          <w:noProof/>
          <w:sz w:val="24"/>
          <w:szCs w:val="24"/>
        </w:rPr>
        <w:t>Review of Policies and Procedures Implementing Enhanced Safeguards for U.S. Signals Intelligence Activities</w:t>
      </w:r>
      <w:r w:rsidR="00933BFF" w:rsidRPr="008C2417">
        <w:rPr>
          <w:rFonts w:ascii="Cambria" w:eastAsia="Times New Roman" w:hAnsi="Cambria" w:cstheme="minorHAnsi"/>
          <w:b/>
          <w:sz w:val="24"/>
          <w:szCs w:val="24"/>
        </w:rPr>
        <w:t>.</w:t>
      </w:r>
      <w:r w:rsidR="00933BFF" w:rsidRPr="00AA05E1">
        <w:rPr>
          <w:rFonts w:ascii="Cambria" w:eastAsia="Times New Roman" w:hAnsi="Cambria" w:cstheme="minorHAnsi"/>
          <w:bCs/>
          <w:sz w:val="24"/>
          <w:szCs w:val="24"/>
        </w:rPr>
        <w:t xml:space="preserve"> In September 2025, PCLOB released a </w:t>
      </w:r>
      <w:hyperlink r:id="rId62" w:history="1">
        <w:r w:rsidR="00933BFF" w:rsidRPr="00AA05E1">
          <w:rPr>
            <w:rStyle w:val="Hyperlink"/>
            <w:rFonts w:ascii="Cambria" w:eastAsia="Times New Roman" w:hAnsi="Cambria" w:cstheme="minorHAnsi"/>
            <w:bCs/>
            <w:sz w:val="24"/>
            <w:szCs w:val="24"/>
          </w:rPr>
          <w:t>report</w:t>
        </w:r>
      </w:hyperlink>
      <w:r w:rsidR="00933BFF" w:rsidRPr="00AA05E1">
        <w:rPr>
          <w:rFonts w:ascii="Cambria" w:eastAsia="Times New Roman" w:hAnsi="Cambria" w:cstheme="minorHAnsi"/>
          <w:bCs/>
          <w:sz w:val="24"/>
          <w:szCs w:val="24"/>
        </w:rPr>
        <w:t xml:space="preserve"> </w:t>
      </w:r>
      <w:r w:rsidR="008C2417">
        <w:rPr>
          <w:rFonts w:ascii="Cambria" w:eastAsia="Times New Roman" w:hAnsi="Cambria" w:cstheme="minorHAnsi"/>
          <w:bCs/>
          <w:sz w:val="24"/>
          <w:szCs w:val="24"/>
        </w:rPr>
        <w:t xml:space="preserve">in accordance with its commitment pursuant to </w:t>
      </w:r>
      <w:r w:rsidR="00933BFF" w:rsidRPr="00AA05E1">
        <w:rPr>
          <w:rFonts w:ascii="Cambria" w:eastAsia="Times New Roman" w:hAnsi="Cambria" w:cstheme="minorHAnsi"/>
          <w:bCs/>
          <w:sz w:val="24"/>
          <w:szCs w:val="24"/>
        </w:rPr>
        <w:t xml:space="preserve">EO 14086 on Enhancing Safeguards for United States Signals Intelligence Activities. Specifically, </w:t>
      </w:r>
      <w:r w:rsidR="00296BE2" w:rsidRPr="00AA05E1">
        <w:rPr>
          <w:rFonts w:ascii="Cambria" w:eastAsia="Times New Roman" w:hAnsi="Cambria" w:cstheme="minorHAnsi"/>
          <w:bCs/>
          <w:sz w:val="24"/>
          <w:szCs w:val="24"/>
        </w:rPr>
        <w:t>PCLOB</w:t>
      </w:r>
      <w:r w:rsidR="00933BFF" w:rsidRPr="00AA05E1">
        <w:rPr>
          <w:rFonts w:ascii="Cambria" w:eastAsia="Times New Roman" w:hAnsi="Cambria" w:cstheme="minorHAnsi"/>
          <w:bCs/>
          <w:sz w:val="24"/>
          <w:szCs w:val="24"/>
        </w:rPr>
        <w:t xml:space="preserve"> reviewed implementation of the</w:t>
      </w:r>
      <w:r w:rsidR="00933BFF" w:rsidRPr="00AA05E1">
        <w:rPr>
          <w:rFonts w:ascii="Cambria" w:hAnsi="Cambria"/>
          <w:noProof/>
          <w:sz w:val="24"/>
          <w:szCs w:val="24"/>
        </w:rPr>
        <w:t xml:space="preserve"> </w:t>
      </w:r>
      <w:r w:rsidR="00933BFF" w:rsidRPr="00AA05E1">
        <w:rPr>
          <w:rFonts w:ascii="Cambria" w:eastAsia="Times New Roman" w:hAnsi="Cambria" w:cstheme="minorHAnsi"/>
          <w:bCs/>
          <w:sz w:val="24"/>
          <w:szCs w:val="24"/>
        </w:rPr>
        <w:t xml:space="preserve">updated policies and procedures adopted by the </w:t>
      </w:r>
      <w:r w:rsidR="00610E58" w:rsidRPr="00AA05E1">
        <w:rPr>
          <w:rFonts w:ascii="Cambria" w:eastAsia="Times New Roman" w:hAnsi="Cambria" w:cstheme="minorHAnsi"/>
          <w:bCs/>
          <w:sz w:val="24"/>
          <w:szCs w:val="24"/>
        </w:rPr>
        <w:t>Intelligence Community</w:t>
      </w:r>
      <w:r w:rsidR="00933BFF" w:rsidRPr="00AA05E1">
        <w:rPr>
          <w:rFonts w:ascii="Cambria" w:eastAsia="Times New Roman" w:hAnsi="Cambria" w:cstheme="minorHAnsi"/>
          <w:bCs/>
          <w:sz w:val="24"/>
          <w:szCs w:val="24"/>
        </w:rPr>
        <w:t xml:space="preserve"> to ensure that they are consistent with the enhanced safeguards contained in the order. The report made two recommendations which the Intelligence Community </w:t>
      </w:r>
      <w:r w:rsidR="008C2417">
        <w:rPr>
          <w:rFonts w:ascii="Cambria" w:eastAsia="Times New Roman" w:hAnsi="Cambria" w:cstheme="minorHAnsi"/>
          <w:bCs/>
          <w:sz w:val="24"/>
          <w:szCs w:val="24"/>
        </w:rPr>
        <w:t>will</w:t>
      </w:r>
      <w:r w:rsidR="008C2417" w:rsidRPr="00AA05E1">
        <w:rPr>
          <w:rFonts w:ascii="Cambria" w:eastAsia="Times New Roman" w:hAnsi="Cambria" w:cstheme="minorHAnsi"/>
          <w:bCs/>
          <w:sz w:val="24"/>
          <w:szCs w:val="24"/>
        </w:rPr>
        <w:t xml:space="preserve"> </w:t>
      </w:r>
      <w:r w:rsidR="00610E58" w:rsidRPr="00AA05E1">
        <w:rPr>
          <w:rFonts w:ascii="Cambria" w:eastAsia="Times New Roman" w:hAnsi="Cambria" w:cstheme="minorHAnsi"/>
          <w:bCs/>
          <w:sz w:val="24"/>
          <w:szCs w:val="24"/>
        </w:rPr>
        <w:t>address</w:t>
      </w:r>
      <w:r w:rsidR="00933BFF" w:rsidRPr="00AA05E1">
        <w:rPr>
          <w:rFonts w:ascii="Cambria" w:eastAsia="Times New Roman" w:hAnsi="Cambria" w:cstheme="minorHAnsi"/>
          <w:bCs/>
          <w:sz w:val="24"/>
          <w:szCs w:val="24"/>
        </w:rPr>
        <w:t xml:space="preserve"> within 180 days of PCLOB’s report. PCLOB intends to review the processing of qualifying complaints under the redress mechanism established by EO 14086</w:t>
      </w:r>
      <w:r w:rsidR="002121B2" w:rsidRPr="002121B2">
        <w:rPr>
          <w:rFonts w:ascii="Cambria" w:eastAsia="Times New Roman" w:hAnsi="Cambria" w:cstheme="minorHAnsi"/>
          <w:bCs/>
          <w:sz w:val="24"/>
          <w:szCs w:val="24"/>
        </w:rPr>
        <w:t xml:space="preserve"> </w:t>
      </w:r>
      <w:r w:rsidR="002121B2" w:rsidRPr="00AA05E1">
        <w:rPr>
          <w:rFonts w:ascii="Cambria" w:eastAsia="Times New Roman" w:hAnsi="Cambria" w:cstheme="minorHAnsi"/>
          <w:bCs/>
          <w:sz w:val="24"/>
          <w:szCs w:val="24"/>
        </w:rPr>
        <w:t>in a future report</w:t>
      </w:r>
      <w:r w:rsidR="00933BFF" w:rsidRPr="00AA05E1">
        <w:rPr>
          <w:rFonts w:ascii="Cambria" w:eastAsia="Times New Roman" w:hAnsi="Cambria" w:cstheme="minorHAnsi"/>
          <w:bCs/>
          <w:sz w:val="24"/>
          <w:szCs w:val="24"/>
        </w:rPr>
        <w:t xml:space="preserve">. </w:t>
      </w:r>
    </w:p>
    <w:p w14:paraId="1705074E" w14:textId="77777777" w:rsidR="008C2417" w:rsidRDefault="008C2417">
      <w:pPr>
        <w:rPr>
          <w:rFonts w:ascii="Cambria" w:eastAsia="Times New Roman" w:hAnsi="Cambria" w:cstheme="minorHAnsi"/>
          <w:bCs/>
          <w:sz w:val="24"/>
          <w:szCs w:val="24"/>
        </w:rPr>
      </w:pPr>
      <w:r>
        <w:rPr>
          <w:rFonts w:ascii="Cambria" w:eastAsia="Times New Roman" w:hAnsi="Cambria" w:cstheme="minorHAnsi"/>
          <w:bCs/>
          <w:sz w:val="24"/>
          <w:szCs w:val="24"/>
        </w:rPr>
        <w:br w:type="page"/>
      </w:r>
    </w:p>
    <w:p w14:paraId="68B73BC6" w14:textId="1E193BBC" w:rsidR="00933BFF" w:rsidRDefault="008C2417" w:rsidP="000A3130">
      <w:pPr>
        <w:keepNext/>
        <w:keepLines/>
        <w:shd w:val="clear" w:color="auto" w:fill="FFFFFF"/>
        <w:spacing w:before="240" w:after="0" w:line="276" w:lineRule="auto"/>
        <w:ind w:left="360"/>
        <w:jc w:val="both"/>
        <w:rPr>
          <w:rFonts w:ascii="Cambria" w:eastAsia="Times New Roman" w:hAnsi="Cambria" w:cstheme="minorHAnsi"/>
          <w:b/>
          <w:sz w:val="24"/>
          <w:szCs w:val="24"/>
          <w:u w:val="single"/>
        </w:rPr>
      </w:pPr>
      <w:r>
        <w:rPr>
          <w:rFonts w:ascii="Cambria" w:eastAsia="Times New Roman" w:hAnsi="Cambria" w:cstheme="minorHAnsi"/>
          <w:b/>
          <w:sz w:val="24"/>
          <w:szCs w:val="24"/>
          <w:u w:val="single"/>
        </w:rPr>
        <w:lastRenderedPageBreak/>
        <w:t>Additional</w:t>
      </w:r>
      <w:r w:rsidRPr="00EE3EAB">
        <w:rPr>
          <w:rFonts w:ascii="Cambria" w:eastAsia="Times New Roman" w:hAnsi="Cambria" w:cstheme="minorHAnsi"/>
          <w:b/>
          <w:sz w:val="24"/>
          <w:szCs w:val="24"/>
          <w:u w:val="single"/>
        </w:rPr>
        <w:t xml:space="preserve"> </w:t>
      </w:r>
      <w:r w:rsidR="00933BFF" w:rsidRPr="00EE3EAB">
        <w:rPr>
          <w:rFonts w:ascii="Cambria" w:eastAsia="Times New Roman" w:hAnsi="Cambria" w:cstheme="minorHAnsi"/>
          <w:b/>
          <w:sz w:val="24"/>
          <w:szCs w:val="24"/>
          <w:u w:val="single"/>
        </w:rPr>
        <w:t>Oversight Projects</w:t>
      </w:r>
    </w:p>
    <w:p w14:paraId="4AF28A35" w14:textId="53D1B8B3" w:rsidR="008C2417" w:rsidRPr="00B0403B" w:rsidRDefault="008C2417" w:rsidP="008C2417">
      <w:pPr>
        <w:numPr>
          <w:ilvl w:val="0"/>
          <w:numId w:val="4"/>
        </w:numPr>
        <w:spacing w:before="240" w:after="0" w:line="276" w:lineRule="auto"/>
        <w:jc w:val="both"/>
        <w:rPr>
          <w:rFonts w:ascii="Cambria" w:hAnsi="Cambria"/>
          <w:b/>
          <w:bCs/>
          <w:color w:val="FFFFFF" w:themeColor="background1"/>
          <w:sz w:val="24"/>
          <w:szCs w:val="24"/>
        </w:rPr>
      </w:pPr>
      <w:r w:rsidRPr="00A8504E">
        <w:rPr>
          <w:rFonts w:ascii="Cambria" w:eastAsia="Times New Roman" w:hAnsi="Cambria" w:cstheme="minorHAnsi"/>
          <w:b/>
          <w:sz w:val="24"/>
          <w:szCs w:val="24"/>
        </w:rPr>
        <w:t>FBI Use of Open</w:t>
      </w:r>
      <w:r w:rsidR="006E7AA4">
        <w:rPr>
          <w:rFonts w:ascii="Cambria" w:eastAsia="Times New Roman" w:hAnsi="Cambria" w:cstheme="minorHAnsi"/>
          <w:b/>
          <w:sz w:val="24"/>
          <w:szCs w:val="24"/>
        </w:rPr>
        <w:t xml:space="preserve"> </w:t>
      </w:r>
      <w:r w:rsidRPr="00A8504E">
        <w:rPr>
          <w:rFonts w:ascii="Cambria" w:eastAsia="Times New Roman" w:hAnsi="Cambria" w:cstheme="minorHAnsi"/>
          <w:b/>
          <w:sz w:val="24"/>
          <w:szCs w:val="24"/>
        </w:rPr>
        <w:t>Source Information</w:t>
      </w:r>
      <w:r w:rsidRPr="00A8504E">
        <w:rPr>
          <w:rFonts w:ascii="Cambria" w:eastAsia="Times New Roman" w:hAnsi="Cambria" w:cstheme="minorHAnsi"/>
          <w:bCs/>
          <w:sz w:val="24"/>
          <w:szCs w:val="24"/>
        </w:rPr>
        <w:t xml:space="preserve">. PCLOB is </w:t>
      </w:r>
      <w:r w:rsidRPr="00A8504E">
        <w:rPr>
          <w:rFonts w:ascii="Cambria" w:eastAsia="Times New Roman" w:hAnsi="Cambria"/>
          <w:bCs/>
          <w:sz w:val="24"/>
          <w:szCs w:val="24"/>
        </w:rPr>
        <w:t>reviewing the FBI’s acquisition and use of data from open</w:t>
      </w:r>
      <w:r w:rsidR="006E7AA4">
        <w:rPr>
          <w:rFonts w:ascii="Cambria" w:eastAsia="Times New Roman" w:hAnsi="Cambria"/>
          <w:bCs/>
          <w:sz w:val="24"/>
          <w:szCs w:val="24"/>
        </w:rPr>
        <w:t xml:space="preserve"> </w:t>
      </w:r>
      <w:r w:rsidRPr="00A8504E">
        <w:rPr>
          <w:rFonts w:ascii="Cambria" w:eastAsia="Times New Roman" w:hAnsi="Cambria"/>
          <w:bCs/>
          <w:sz w:val="24"/>
          <w:szCs w:val="24"/>
        </w:rPr>
        <w:t xml:space="preserve">source or commercially available sources as part of </w:t>
      </w:r>
      <w:r>
        <w:rPr>
          <w:rFonts w:ascii="Cambria" w:eastAsia="Times New Roman" w:hAnsi="Cambria"/>
          <w:bCs/>
          <w:sz w:val="24"/>
          <w:szCs w:val="24"/>
        </w:rPr>
        <w:t>the FBI’s</w:t>
      </w:r>
      <w:r w:rsidRPr="00A8504E">
        <w:rPr>
          <w:rFonts w:ascii="Cambria" w:eastAsia="Times New Roman" w:hAnsi="Cambria"/>
          <w:bCs/>
          <w:sz w:val="24"/>
          <w:szCs w:val="24"/>
        </w:rPr>
        <w:t xml:space="preserve"> efforts to protect the nation against terrorism, as well as the legal, policy, and technological safeguards in place to protect privacy and civil liberties.</w:t>
      </w:r>
    </w:p>
    <w:p w14:paraId="2A23B84C" w14:textId="7A17871E" w:rsidR="00E50060" w:rsidRPr="00EE3EAB" w:rsidRDefault="00E50060" w:rsidP="000A3130">
      <w:pPr>
        <w:keepNext/>
        <w:keepLines/>
        <w:numPr>
          <w:ilvl w:val="0"/>
          <w:numId w:val="4"/>
        </w:numPr>
        <w:spacing w:before="240" w:after="0" w:line="276" w:lineRule="auto"/>
        <w:jc w:val="both"/>
        <w:rPr>
          <w:rFonts w:ascii="Cambria" w:eastAsia="Times New Roman" w:hAnsi="Cambria" w:cstheme="minorHAnsi"/>
          <w:bCs/>
          <w:sz w:val="24"/>
          <w:szCs w:val="24"/>
        </w:rPr>
      </w:pPr>
      <w:r w:rsidRPr="008D11AD">
        <w:rPr>
          <w:rFonts w:ascii="Cambria" w:hAnsi="Cambria" w:cs="Calibri"/>
          <w:b/>
          <w:bCs/>
          <w:sz w:val="24"/>
          <w:szCs w:val="24"/>
        </w:rPr>
        <w:t>Section 702 of the Foreign Intelligence Surveillance Act (FISA)</w:t>
      </w:r>
      <w:r w:rsidRPr="008D11AD">
        <w:rPr>
          <w:rFonts w:ascii="Cambria" w:hAnsi="Cambria" w:cs="Calibri"/>
          <w:sz w:val="24"/>
          <w:szCs w:val="24"/>
        </w:rPr>
        <w:t xml:space="preserve">. </w:t>
      </w:r>
      <w:r w:rsidR="008C2417">
        <w:rPr>
          <w:rFonts w:ascii="Cambria" w:hAnsi="Cambria" w:cs="Calibri"/>
          <w:sz w:val="24"/>
          <w:szCs w:val="24"/>
        </w:rPr>
        <w:t xml:space="preserve">PCLOB </w:t>
      </w:r>
      <w:r>
        <w:rPr>
          <w:rFonts w:ascii="Cambria" w:hAnsi="Cambria" w:cs="Calibri"/>
          <w:sz w:val="24"/>
          <w:szCs w:val="24"/>
        </w:rPr>
        <w:t xml:space="preserve">will </w:t>
      </w:r>
      <w:r w:rsidR="000A3130">
        <w:rPr>
          <w:rFonts w:ascii="Cambria" w:hAnsi="Cambria" w:cs="Calibri"/>
          <w:sz w:val="24"/>
          <w:szCs w:val="24"/>
        </w:rPr>
        <w:t xml:space="preserve">provide an </w:t>
      </w:r>
      <w:r>
        <w:rPr>
          <w:rFonts w:ascii="Cambria" w:hAnsi="Cambria" w:cs="Calibri"/>
          <w:sz w:val="24"/>
          <w:szCs w:val="24"/>
        </w:rPr>
        <w:t xml:space="preserve">update </w:t>
      </w:r>
      <w:r w:rsidR="000A3130">
        <w:rPr>
          <w:rFonts w:ascii="Cambria" w:hAnsi="Cambria" w:cs="Calibri"/>
          <w:sz w:val="24"/>
          <w:szCs w:val="24"/>
        </w:rPr>
        <w:t xml:space="preserve">to </w:t>
      </w:r>
      <w:r w:rsidR="008C2417">
        <w:rPr>
          <w:rFonts w:ascii="Cambria" w:hAnsi="Cambria" w:cs="Calibri"/>
          <w:sz w:val="24"/>
          <w:szCs w:val="24"/>
        </w:rPr>
        <w:t xml:space="preserve">its </w:t>
      </w:r>
      <w:hyperlink r:id="rId63" w:history="1">
        <w:r w:rsidRPr="004B66C7">
          <w:rPr>
            <w:rStyle w:val="Hyperlink"/>
            <w:rFonts w:ascii="Cambria" w:hAnsi="Cambria" w:cs="Calibri"/>
            <w:sz w:val="24"/>
            <w:szCs w:val="24"/>
          </w:rPr>
          <w:t>2023 FISA Section 702 report</w:t>
        </w:r>
      </w:hyperlink>
      <w:r>
        <w:rPr>
          <w:rFonts w:ascii="Cambria" w:hAnsi="Cambria" w:cs="Calibri"/>
          <w:sz w:val="24"/>
          <w:szCs w:val="24"/>
        </w:rPr>
        <w:t>,</w:t>
      </w:r>
      <w:r w:rsidRPr="00460BA8">
        <w:rPr>
          <w:rFonts w:ascii="Cambria" w:hAnsi="Cambria" w:cs="Calibri"/>
          <w:sz w:val="24"/>
          <w:szCs w:val="24"/>
        </w:rPr>
        <w:t xml:space="preserve"> </w:t>
      </w:r>
      <w:r w:rsidR="008C2417">
        <w:rPr>
          <w:rFonts w:ascii="Cambria" w:hAnsi="Cambria" w:cs="Calibri"/>
          <w:sz w:val="24"/>
          <w:szCs w:val="24"/>
        </w:rPr>
        <w:t xml:space="preserve">focusing on recent changes to </w:t>
      </w:r>
      <w:r w:rsidRPr="000201F2">
        <w:rPr>
          <w:rFonts w:ascii="Cambria" w:hAnsi="Cambria" w:cs="Calibri"/>
          <w:sz w:val="24"/>
          <w:szCs w:val="24"/>
        </w:rPr>
        <w:t>the</w:t>
      </w:r>
      <w:r w:rsidRPr="00E50060">
        <w:rPr>
          <w:rFonts w:ascii="Cambria" w:hAnsi="Cambria" w:cs="Calibri"/>
          <w:sz w:val="24"/>
          <w:szCs w:val="24"/>
        </w:rPr>
        <w:t xml:space="preserve"> </w:t>
      </w:r>
      <w:r w:rsidRPr="000201F2">
        <w:rPr>
          <w:rFonts w:ascii="Cambria" w:hAnsi="Cambria" w:cs="Calibri"/>
          <w:sz w:val="24"/>
          <w:szCs w:val="24"/>
        </w:rPr>
        <w:t>program</w:t>
      </w:r>
      <w:r>
        <w:rPr>
          <w:rFonts w:ascii="Cambria" w:hAnsi="Cambria" w:cs="Calibri"/>
          <w:sz w:val="24"/>
          <w:szCs w:val="24"/>
        </w:rPr>
        <w:t xml:space="preserve">. </w:t>
      </w:r>
      <w:r w:rsidR="00D544FC">
        <w:rPr>
          <w:rFonts w:ascii="Cambria" w:hAnsi="Cambria" w:cs="Calibri"/>
          <w:sz w:val="24"/>
          <w:szCs w:val="24"/>
        </w:rPr>
        <w:t xml:space="preserve">The </w:t>
      </w:r>
      <w:r w:rsidR="00610E58">
        <w:rPr>
          <w:rFonts w:ascii="Cambria" w:hAnsi="Cambria" w:cs="Calibri"/>
          <w:sz w:val="24"/>
          <w:szCs w:val="24"/>
        </w:rPr>
        <w:t xml:space="preserve">forthcoming report </w:t>
      </w:r>
      <w:r>
        <w:rPr>
          <w:rFonts w:ascii="Cambria" w:hAnsi="Cambria" w:cs="Calibri"/>
          <w:sz w:val="24"/>
          <w:szCs w:val="24"/>
        </w:rPr>
        <w:t xml:space="preserve">will </w:t>
      </w:r>
      <w:r w:rsidR="00D544FC">
        <w:rPr>
          <w:rFonts w:ascii="Cambria" w:hAnsi="Cambria" w:cs="Calibri"/>
          <w:sz w:val="24"/>
          <w:szCs w:val="24"/>
        </w:rPr>
        <w:t xml:space="preserve">discuss </w:t>
      </w:r>
      <w:r>
        <w:rPr>
          <w:rFonts w:ascii="Cambria" w:hAnsi="Cambria" w:cs="Calibri"/>
          <w:sz w:val="24"/>
          <w:szCs w:val="24"/>
        </w:rPr>
        <w:t xml:space="preserve">how the Intelligence Community has implemented changes directed under the </w:t>
      </w:r>
      <w:r w:rsidRPr="004039C2">
        <w:rPr>
          <w:rFonts w:ascii="Cambria" w:hAnsi="Cambria" w:cs="Calibri"/>
          <w:sz w:val="24"/>
          <w:szCs w:val="24"/>
        </w:rPr>
        <w:t>Reforming Intelligence and Securing America Act of 2024 (RISAA)</w:t>
      </w:r>
      <w:r>
        <w:rPr>
          <w:rFonts w:ascii="Cambria" w:hAnsi="Cambria" w:cs="Calibri"/>
          <w:sz w:val="24"/>
          <w:szCs w:val="24"/>
        </w:rPr>
        <w:t xml:space="preserve">, and how those changes have impacted </w:t>
      </w:r>
      <w:r w:rsidR="0065667D">
        <w:rPr>
          <w:rFonts w:ascii="Cambria" w:hAnsi="Cambria" w:cs="Calibri"/>
          <w:sz w:val="24"/>
          <w:szCs w:val="24"/>
        </w:rPr>
        <w:t xml:space="preserve">the </w:t>
      </w:r>
      <w:r w:rsidR="000A3130">
        <w:rPr>
          <w:rFonts w:ascii="Cambria" w:hAnsi="Cambria" w:cs="Calibri"/>
          <w:sz w:val="24"/>
          <w:szCs w:val="24"/>
        </w:rPr>
        <w:t>Intelligence Community</w:t>
      </w:r>
      <w:r w:rsidR="00D544FC">
        <w:rPr>
          <w:rFonts w:ascii="Cambria" w:hAnsi="Cambria" w:cs="Calibri"/>
          <w:sz w:val="24"/>
          <w:szCs w:val="24"/>
        </w:rPr>
        <w:t>’</w:t>
      </w:r>
      <w:r w:rsidR="0065667D">
        <w:rPr>
          <w:rFonts w:ascii="Cambria" w:hAnsi="Cambria" w:cs="Calibri"/>
          <w:sz w:val="24"/>
          <w:szCs w:val="24"/>
        </w:rPr>
        <w:t xml:space="preserve">s </w:t>
      </w:r>
      <w:r>
        <w:rPr>
          <w:rFonts w:ascii="Cambria" w:hAnsi="Cambria" w:cs="Calibri"/>
          <w:sz w:val="24"/>
          <w:szCs w:val="24"/>
        </w:rPr>
        <w:t>compliance with the Section 702 procedures.</w:t>
      </w:r>
    </w:p>
    <w:p w14:paraId="5ED9263B" w14:textId="75BB32C3" w:rsidR="008244C7" w:rsidRPr="00E50060" w:rsidRDefault="008244C7" w:rsidP="00E50060">
      <w:pPr>
        <w:numPr>
          <w:ilvl w:val="0"/>
          <w:numId w:val="4"/>
        </w:numPr>
        <w:shd w:val="clear" w:color="auto" w:fill="FFFFFF"/>
        <w:spacing w:before="240" w:after="0" w:line="276" w:lineRule="auto"/>
        <w:jc w:val="both"/>
        <w:rPr>
          <w:rFonts w:ascii="Cambria" w:eastAsia="Times New Roman" w:hAnsi="Cambria"/>
          <w:bCs/>
          <w:sz w:val="24"/>
          <w:szCs w:val="24"/>
        </w:rPr>
      </w:pPr>
      <w:r w:rsidRPr="00E50060">
        <w:rPr>
          <w:rFonts w:ascii="Cambria" w:eastAsia="Times New Roman" w:hAnsi="Cambria"/>
          <w:b/>
          <w:sz w:val="24"/>
          <w:szCs w:val="24"/>
        </w:rPr>
        <w:t>Countering Domestic Terrorism.</w:t>
      </w:r>
      <w:r w:rsidRPr="00E50060">
        <w:rPr>
          <w:rFonts w:ascii="Cambria" w:eastAsia="Times New Roman" w:hAnsi="Cambria"/>
          <w:bCs/>
          <w:sz w:val="24"/>
          <w:szCs w:val="24"/>
        </w:rPr>
        <w:t xml:space="preserve"> PCLOB </w:t>
      </w:r>
      <w:proofErr w:type="gramStart"/>
      <w:r w:rsidR="00D544FC">
        <w:rPr>
          <w:rFonts w:ascii="Cambria" w:eastAsia="Times New Roman" w:hAnsi="Cambria"/>
          <w:bCs/>
          <w:sz w:val="24"/>
          <w:szCs w:val="24"/>
        </w:rPr>
        <w:t>is examining</w:t>
      </w:r>
      <w:proofErr w:type="gramEnd"/>
      <w:r w:rsidR="00D544FC">
        <w:rPr>
          <w:rFonts w:ascii="Cambria" w:eastAsia="Times New Roman" w:hAnsi="Cambria"/>
          <w:bCs/>
          <w:sz w:val="24"/>
          <w:szCs w:val="24"/>
        </w:rPr>
        <w:t xml:space="preserve"> </w:t>
      </w:r>
      <w:r w:rsidRPr="00E50060">
        <w:rPr>
          <w:rFonts w:ascii="Cambria" w:eastAsia="Times New Roman" w:hAnsi="Cambria"/>
          <w:bCs/>
          <w:sz w:val="24"/>
          <w:szCs w:val="24"/>
        </w:rPr>
        <w:t xml:space="preserve">government policies and activities designed to counter domestic terrorism. </w:t>
      </w:r>
      <w:r w:rsidR="009737C4" w:rsidRPr="009737C4">
        <w:rPr>
          <w:rFonts w:ascii="Cambria" w:eastAsia="Times New Roman" w:hAnsi="Cambria"/>
          <w:bCs/>
          <w:sz w:val="24"/>
          <w:szCs w:val="24"/>
        </w:rPr>
        <w:t xml:space="preserve">This project has two </w:t>
      </w:r>
      <w:r w:rsidR="00610E58">
        <w:rPr>
          <w:rFonts w:ascii="Cambria" w:eastAsia="Times New Roman" w:hAnsi="Cambria"/>
          <w:bCs/>
          <w:sz w:val="24"/>
          <w:szCs w:val="24"/>
        </w:rPr>
        <w:t xml:space="preserve">simultaneous and distinct </w:t>
      </w:r>
      <w:r w:rsidR="009737C4" w:rsidRPr="009737C4">
        <w:rPr>
          <w:rFonts w:ascii="Cambria" w:eastAsia="Times New Roman" w:hAnsi="Cambria"/>
          <w:bCs/>
          <w:sz w:val="24"/>
          <w:szCs w:val="24"/>
        </w:rPr>
        <w:t>workstreams</w:t>
      </w:r>
      <w:r w:rsidR="00610E58">
        <w:rPr>
          <w:rFonts w:ascii="Cambria" w:eastAsia="Times New Roman" w:hAnsi="Cambria"/>
          <w:bCs/>
          <w:sz w:val="24"/>
          <w:szCs w:val="24"/>
        </w:rPr>
        <w:t>: 1)</w:t>
      </w:r>
      <w:r w:rsidR="00D544FC">
        <w:rPr>
          <w:rFonts w:ascii="Cambria" w:eastAsia="Times New Roman" w:hAnsi="Cambria"/>
          <w:bCs/>
          <w:sz w:val="24"/>
          <w:szCs w:val="24"/>
        </w:rPr>
        <w:t xml:space="preserve"> </w:t>
      </w:r>
      <w:r w:rsidR="00D544FC" w:rsidRPr="00D544FC">
        <w:rPr>
          <w:rFonts w:ascii="Cambria" w:eastAsia="Times New Roman" w:hAnsi="Cambria"/>
          <w:bCs/>
          <w:sz w:val="24"/>
          <w:szCs w:val="24"/>
        </w:rPr>
        <w:t xml:space="preserve">how the Government’s activities to counter domestic terrorism </w:t>
      </w:r>
      <w:proofErr w:type="gramStart"/>
      <w:r w:rsidR="00D544FC" w:rsidRPr="00D544FC">
        <w:rPr>
          <w:rFonts w:ascii="Cambria" w:eastAsia="Times New Roman" w:hAnsi="Cambria"/>
          <w:bCs/>
          <w:sz w:val="24"/>
          <w:szCs w:val="24"/>
        </w:rPr>
        <w:t>intersect</w:t>
      </w:r>
      <w:proofErr w:type="gramEnd"/>
      <w:r w:rsidR="00D544FC" w:rsidRPr="00D544FC">
        <w:rPr>
          <w:rFonts w:ascii="Cambria" w:eastAsia="Times New Roman" w:hAnsi="Cambria"/>
          <w:bCs/>
          <w:sz w:val="24"/>
          <w:szCs w:val="24"/>
        </w:rPr>
        <w:t xml:space="preserve"> with First Amendment rights</w:t>
      </w:r>
      <w:r w:rsidR="00610E58">
        <w:rPr>
          <w:rFonts w:ascii="Cambria" w:eastAsia="Times New Roman" w:hAnsi="Cambria"/>
          <w:bCs/>
          <w:sz w:val="24"/>
          <w:szCs w:val="24"/>
        </w:rPr>
        <w:t xml:space="preserve">; and 2) </w:t>
      </w:r>
      <w:r w:rsidR="00D544FC" w:rsidRPr="00D544FC">
        <w:rPr>
          <w:rFonts w:ascii="Cambria" w:eastAsia="Times New Roman" w:hAnsi="Cambria"/>
          <w:bCs/>
          <w:sz w:val="24"/>
          <w:szCs w:val="24"/>
        </w:rPr>
        <w:t xml:space="preserve">whether and how the Government’s efforts to counter domestic terrorism uniquely affect the privacy and civil liberties of </w:t>
      </w:r>
      <w:proofErr w:type="gramStart"/>
      <w:r w:rsidR="00D544FC" w:rsidRPr="00D544FC">
        <w:rPr>
          <w:rFonts w:ascii="Cambria" w:eastAsia="Times New Roman" w:hAnsi="Cambria"/>
          <w:bCs/>
          <w:sz w:val="24"/>
          <w:szCs w:val="24"/>
        </w:rPr>
        <w:t>particular groups</w:t>
      </w:r>
      <w:proofErr w:type="gramEnd"/>
      <w:r w:rsidRPr="00E50060">
        <w:rPr>
          <w:rFonts w:ascii="Cambria" w:eastAsia="Times New Roman" w:hAnsi="Cambria"/>
          <w:bCs/>
          <w:sz w:val="24"/>
          <w:szCs w:val="24"/>
        </w:rPr>
        <w:t xml:space="preserve">. </w:t>
      </w:r>
    </w:p>
    <w:p w14:paraId="4DA2146C" w14:textId="38A7DB21" w:rsidR="00953D43" w:rsidRDefault="00953D43" w:rsidP="00EE3EAB">
      <w:pPr>
        <w:numPr>
          <w:ilvl w:val="0"/>
          <w:numId w:val="4"/>
        </w:numPr>
        <w:spacing w:before="240" w:after="0" w:line="276" w:lineRule="auto"/>
        <w:jc w:val="both"/>
        <w:rPr>
          <w:rFonts w:ascii="Cambria" w:eastAsia="Times New Roman" w:hAnsi="Cambria" w:cstheme="minorHAnsi"/>
          <w:bCs/>
          <w:sz w:val="24"/>
          <w:szCs w:val="24"/>
        </w:rPr>
      </w:pPr>
      <w:r w:rsidRPr="00EE3EAB">
        <w:rPr>
          <w:rFonts w:ascii="Cambria" w:eastAsia="Times New Roman" w:hAnsi="Cambria" w:cstheme="minorHAnsi"/>
          <w:b/>
          <w:sz w:val="24"/>
          <w:szCs w:val="24"/>
        </w:rPr>
        <w:t>Tactical Terrorism Response Teams</w:t>
      </w:r>
      <w:r w:rsidRPr="00863A6E">
        <w:rPr>
          <w:rFonts w:ascii="Cambria" w:eastAsia="Times New Roman" w:hAnsi="Cambria" w:cstheme="minorHAnsi"/>
          <w:bCs/>
          <w:sz w:val="24"/>
          <w:szCs w:val="24"/>
        </w:rPr>
        <w:t>. PCLOB is reviewing the use of Tactical Terrorism Response Teams (TTRTs) by U.S. Customs and Border Protection. This review examines TTRT authorities, activities, and encounters at ports of entry and within the border zone, with particular focus on interactions between TTRTs and U.S. persons; information sharing between TTRTs and other government agencies; the effectiveness of TTRTs in countering terrorism; and whether the program appropriately safeguards privacy and civil liberties.</w:t>
      </w:r>
    </w:p>
    <w:p w14:paraId="3421E8A9" w14:textId="77777777" w:rsidR="00E50060" w:rsidRDefault="00E50060" w:rsidP="00E50060">
      <w:pPr>
        <w:numPr>
          <w:ilvl w:val="0"/>
          <w:numId w:val="4"/>
        </w:numPr>
        <w:spacing w:before="240" w:after="0" w:line="276" w:lineRule="auto"/>
        <w:jc w:val="both"/>
        <w:rPr>
          <w:rFonts w:ascii="Cambria" w:eastAsia="Times New Roman" w:hAnsi="Cambria" w:cstheme="minorHAnsi"/>
          <w:bCs/>
          <w:sz w:val="24"/>
          <w:szCs w:val="24"/>
        </w:rPr>
      </w:pPr>
      <w:r w:rsidRPr="004039C2">
        <w:rPr>
          <w:rFonts w:ascii="Cambria" w:eastAsia="Times New Roman" w:hAnsi="Cambria"/>
          <w:b/>
          <w:sz w:val="24"/>
          <w:szCs w:val="24"/>
        </w:rPr>
        <w:t>Other Oversight Work.</w:t>
      </w:r>
      <w:r w:rsidRPr="004039C2">
        <w:rPr>
          <w:rFonts w:ascii="Cambria" w:eastAsia="Times New Roman" w:hAnsi="Cambria"/>
          <w:bCs/>
          <w:sz w:val="24"/>
          <w:szCs w:val="24"/>
        </w:rPr>
        <w:t xml:space="preserve"> </w:t>
      </w:r>
      <w:r>
        <w:rPr>
          <w:rFonts w:ascii="Cambria" w:eastAsia="Times New Roman" w:hAnsi="Cambria"/>
          <w:bCs/>
          <w:sz w:val="24"/>
          <w:szCs w:val="24"/>
        </w:rPr>
        <w:t xml:space="preserve">In addition, </w:t>
      </w:r>
      <w:r w:rsidRPr="004039C2">
        <w:rPr>
          <w:rFonts w:ascii="Cambria" w:eastAsia="Times New Roman" w:hAnsi="Cambria"/>
          <w:bCs/>
          <w:sz w:val="24"/>
          <w:szCs w:val="24"/>
        </w:rPr>
        <w:t xml:space="preserve">PCLOB </w:t>
      </w:r>
      <w:r w:rsidRPr="004039C2">
        <w:rPr>
          <w:rFonts w:ascii="Cambria" w:eastAsia="Times New Roman" w:hAnsi="Cambria" w:cstheme="minorHAnsi"/>
          <w:bCs/>
          <w:sz w:val="24"/>
          <w:szCs w:val="24"/>
        </w:rPr>
        <w:t xml:space="preserve">continues to </w:t>
      </w:r>
      <w:bookmarkStart w:id="62" w:name="_Hlk210223229"/>
      <w:r w:rsidRPr="004039C2">
        <w:rPr>
          <w:rFonts w:ascii="Cambria" w:eastAsia="Times New Roman" w:hAnsi="Cambria" w:cstheme="minorHAnsi"/>
          <w:bCs/>
          <w:sz w:val="24"/>
          <w:szCs w:val="24"/>
        </w:rPr>
        <w:t xml:space="preserve">track </w:t>
      </w:r>
      <w:r>
        <w:rPr>
          <w:rFonts w:ascii="Cambria" w:eastAsia="Times New Roman" w:hAnsi="Cambria" w:cstheme="minorHAnsi"/>
          <w:bCs/>
          <w:sz w:val="24"/>
          <w:szCs w:val="24"/>
        </w:rPr>
        <w:t>technological developments</w:t>
      </w:r>
      <w:r w:rsidRPr="004039C2">
        <w:rPr>
          <w:rFonts w:ascii="Cambria" w:eastAsia="Times New Roman" w:hAnsi="Cambria" w:cstheme="minorHAnsi"/>
          <w:bCs/>
          <w:sz w:val="24"/>
          <w:szCs w:val="24"/>
        </w:rPr>
        <w:t xml:space="preserve"> through an artificial intelligence and machine learning working group (further described below)</w:t>
      </w:r>
      <w:r>
        <w:rPr>
          <w:rFonts w:ascii="Cambria" w:eastAsia="Times New Roman" w:hAnsi="Cambria" w:cstheme="minorHAnsi"/>
          <w:bCs/>
          <w:sz w:val="24"/>
          <w:szCs w:val="24"/>
        </w:rPr>
        <w:t xml:space="preserve">, as well as an </w:t>
      </w:r>
      <w:proofErr w:type="gramStart"/>
      <w:r>
        <w:rPr>
          <w:rFonts w:ascii="Cambria" w:eastAsia="Times New Roman" w:hAnsi="Cambria" w:cstheme="minorHAnsi"/>
          <w:bCs/>
          <w:sz w:val="24"/>
          <w:szCs w:val="24"/>
        </w:rPr>
        <w:t>emerging technologies</w:t>
      </w:r>
      <w:proofErr w:type="gramEnd"/>
      <w:r>
        <w:rPr>
          <w:rFonts w:ascii="Cambria" w:eastAsia="Times New Roman" w:hAnsi="Cambria" w:cstheme="minorHAnsi"/>
          <w:bCs/>
          <w:sz w:val="24"/>
          <w:szCs w:val="24"/>
        </w:rPr>
        <w:t xml:space="preserve"> working group</w:t>
      </w:r>
      <w:r w:rsidRPr="004039C2">
        <w:rPr>
          <w:rFonts w:ascii="Cambria" w:eastAsia="Times New Roman" w:hAnsi="Cambria" w:cstheme="minorHAnsi"/>
          <w:bCs/>
          <w:sz w:val="24"/>
          <w:szCs w:val="24"/>
        </w:rPr>
        <w:t>.</w:t>
      </w:r>
      <w:bookmarkEnd w:id="62"/>
    </w:p>
    <w:p w14:paraId="30B45CC9" w14:textId="2B40FB2F" w:rsidR="008244C7" w:rsidRPr="00A8504E" w:rsidRDefault="008244C7" w:rsidP="0019237F">
      <w:pPr>
        <w:numPr>
          <w:ilvl w:val="0"/>
          <w:numId w:val="4"/>
        </w:numPr>
        <w:spacing w:before="240" w:after="0" w:line="276" w:lineRule="auto"/>
        <w:jc w:val="both"/>
        <w:rPr>
          <w:rFonts w:ascii="Cambria" w:hAnsi="Cambria"/>
          <w:b/>
          <w:bCs/>
          <w:color w:val="FFFFFF" w:themeColor="background1"/>
          <w:sz w:val="24"/>
          <w:szCs w:val="24"/>
        </w:rPr>
      </w:pPr>
      <w:r w:rsidRPr="00A8504E">
        <w:rPr>
          <w:rFonts w:ascii="Cambria" w:hAnsi="Cambria"/>
          <w:b/>
          <w:bCs/>
          <w:color w:val="FFFFFF" w:themeColor="background1"/>
          <w:sz w:val="24"/>
          <w:szCs w:val="24"/>
        </w:rPr>
        <w:br w:type="page"/>
      </w:r>
    </w:p>
    <w:p w14:paraId="259728A5" w14:textId="038F5A26" w:rsidR="008244C7" w:rsidRPr="009F6A9A" w:rsidRDefault="008244C7" w:rsidP="008244C7">
      <w:pPr>
        <w:spacing w:line="276" w:lineRule="auto"/>
        <w:ind w:right="-270"/>
        <w:jc w:val="both"/>
        <w:rPr>
          <w:rFonts w:ascii="Cambria" w:hAnsi="Cambria"/>
          <w:b/>
          <w:bCs/>
          <w:color w:val="FFFFFF" w:themeColor="background1"/>
          <w:sz w:val="24"/>
          <w:szCs w:val="24"/>
        </w:rPr>
      </w:pPr>
      <w:r w:rsidRPr="003E3525">
        <w:rPr>
          <w:rFonts w:ascii="Cambria" w:hAnsi="Cambria"/>
          <w:b/>
          <w:bCs/>
          <w:noProof/>
          <w:color w:val="FFFFFF" w:themeColor="background1"/>
          <w:sz w:val="24"/>
          <w:szCs w:val="24"/>
        </w:rPr>
        <w:lastRenderedPageBreak/>
        <mc:AlternateContent>
          <mc:Choice Requires="wps">
            <w:drawing>
              <wp:anchor distT="0" distB="0" distL="114300" distR="114300" simplePos="0" relativeHeight="252109312" behindDoc="1" locked="0" layoutInCell="1" allowOverlap="1" wp14:anchorId="303D5F62" wp14:editId="3060A36F">
                <wp:simplePos x="0" y="0"/>
                <wp:positionH relativeFrom="page">
                  <wp:posOffset>638175</wp:posOffset>
                </wp:positionH>
                <wp:positionV relativeFrom="page">
                  <wp:posOffset>1438275</wp:posOffset>
                </wp:positionV>
                <wp:extent cx="6459855" cy="7724775"/>
                <wp:effectExtent l="38100" t="38100" r="112395" b="123825"/>
                <wp:wrapNone/>
                <wp:docPr id="2140100973" name="Rectangle 39"/>
                <wp:cNvGraphicFramePr/>
                <a:graphic xmlns:a="http://schemas.openxmlformats.org/drawingml/2006/main">
                  <a:graphicData uri="http://schemas.microsoft.com/office/word/2010/wordprocessingShape">
                    <wps:wsp>
                      <wps:cNvSpPr/>
                      <wps:spPr>
                        <a:xfrm>
                          <a:off x="0" y="0"/>
                          <a:ext cx="6459855" cy="7724775"/>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A94EB" id="Rectangle 39" o:spid="_x0000_s1026" style="position:absolute;margin-left:50.25pt;margin-top:113.25pt;width:508.65pt;height:608.25pt;z-index:-2512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" filled="f" strokecolor="#002060" strokeweight="1.5pt">
                <v:shadow on="t" color="black" opacity="26214f" origin="-.5,-.5" offset=".74836mm,.74836mm"/>
                <w10:wrap anchorx="page" anchory="page"/>
              </v:rect>
            </w:pict>
          </mc:Fallback>
        </mc:AlternateContent>
      </w:r>
      <w:r w:rsidR="002B11C1" w:rsidRPr="009F6A9A">
        <w:rPr>
          <w:rFonts w:ascii="Cambria" w:hAnsi="Cambria"/>
          <w:b/>
          <w:bCs/>
          <w:color w:val="FFFFFF" w:themeColor="background1"/>
          <w:sz w:val="24"/>
          <w:szCs w:val="24"/>
        </w:rPr>
        <w:t>F</w:t>
      </w:r>
    </w:p>
    <w:p w14:paraId="7B6FF6B9" w14:textId="4F84DB99" w:rsidR="002B11C1" w:rsidRPr="00C27D11" w:rsidRDefault="009F6A9A" w:rsidP="00EE3EAB">
      <w:pPr>
        <w:shd w:val="clear" w:color="auto" w:fill="FFFFFF"/>
        <w:spacing w:before="240" w:after="0" w:line="276" w:lineRule="auto"/>
        <w:ind w:right="-270"/>
        <w:jc w:val="both"/>
        <w:rPr>
          <w:rFonts w:ascii="Cambria" w:hAnsi="Cambria"/>
          <w:b/>
          <w:bCs/>
          <w:sz w:val="24"/>
          <w:szCs w:val="24"/>
        </w:rPr>
      </w:pPr>
      <w:r>
        <w:rPr>
          <w:rFonts w:ascii="Cambria" w:hAnsi="Cambria"/>
          <w:b/>
          <w:bCs/>
          <w:sz w:val="24"/>
          <w:szCs w:val="24"/>
        </w:rPr>
        <w:t xml:space="preserve">FY </w:t>
      </w:r>
      <w:r w:rsidR="0049075B">
        <w:rPr>
          <w:rFonts w:ascii="Cambria" w:hAnsi="Cambria"/>
          <w:b/>
          <w:bCs/>
          <w:sz w:val="24"/>
          <w:szCs w:val="24"/>
        </w:rPr>
        <w:t>2025</w:t>
      </w:r>
      <w:r w:rsidR="002B11C1" w:rsidRPr="00C27D11">
        <w:rPr>
          <w:rFonts w:ascii="Cambria" w:hAnsi="Cambria"/>
          <w:b/>
          <w:bCs/>
          <w:sz w:val="24"/>
          <w:szCs w:val="24"/>
        </w:rPr>
        <w:t xml:space="preserve"> Performance Results</w:t>
      </w:r>
      <w:r w:rsidR="00043A09" w:rsidRPr="00182D44">
        <w:rPr>
          <w:rFonts w:ascii="Cambria" w:hAnsi="Cambria"/>
          <w:b/>
          <w:bCs/>
          <w:sz w:val="24"/>
          <w:szCs w:val="24"/>
        </w:rPr>
        <w:t>: Strategic Goal 1</w:t>
      </w:r>
      <w:r w:rsidR="002B11C1" w:rsidRPr="00C27D11">
        <w:rPr>
          <w:rFonts w:ascii="Cambria" w:hAnsi="Cambria"/>
          <w:b/>
          <w:bCs/>
          <w:sz w:val="24"/>
          <w:szCs w:val="24"/>
        </w:rPr>
        <w:t xml:space="preserve"> </w:t>
      </w:r>
    </w:p>
    <w:p w14:paraId="0D29F390" w14:textId="1FB4D719" w:rsidR="007460F5" w:rsidRPr="007460F5" w:rsidRDefault="008D31FA" w:rsidP="00717CA3">
      <w:pPr>
        <w:pStyle w:val="ListParagraph"/>
        <w:spacing w:line="276" w:lineRule="auto"/>
        <w:ind w:left="0"/>
        <w:contextualSpacing w:val="0"/>
        <w:jc w:val="both"/>
        <w:rPr>
          <w:rFonts w:ascii="Cambria" w:hAnsi="Cambria"/>
          <w:sz w:val="24"/>
          <w:szCs w:val="24"/>
        </w:rPr>
      </w:pPr>
      <w:r>
        <w:rPr>
          <w:rFonts w:ascii="Cambria" w:hAnsi="Cambria"/>
          <w:sz w:val="24"/>
          <w:szCs w:val="24"/>
        </w:rPr>
        <w:t xml:space="preserve">As depicted in the graphic below, </w:t>
      </w:r>
      <w:r w:rsidR="004720B1">
        <w:rPr>
          <w:rFonts w:ascii="Cambria" w:hAnsi="Cambria"/>
          <w:sz w:val="24"/>
          <w:szCs w:val="24"/>
        </w:rPr>
        <w:t xml:space="preserve">PCLOB </w:t>
      </w:r>
      <w:r w:rsidR="006A7F84" w:rsidRPr="00182D44">
        <w:rPr>
          <w:rFonts w:ascii="Cambria" w:hAnsi="Cambria"/>
          <w:sz w:val="24"/>
          <w:szCs w:val="24"/>
        </w:rPr>
        <w:t xml:space="preserve">was </w:t>
      </w:r>
      <w:proofErr w:type="gramStart"/>
      <w:r w:rsidR="006A7F84" w:rsidRPr="00182D44">
        <w:rPr>
          <w:rFonts w:ascii="Cambria" w:hAnsi="Cambria"/>
          <w:sz w:val="24"/>
          <w:szCs w:val="24"/>
        </w:rPr>
        <w:t>tracking</w:t>
      </w:r>
      <w:proofErr w:type="gramEnd"/>
      <w:r w:rsidR="006A7F84" w:rsidRPr="00182D44">
        <w:rPr>
          <w:rFonts w:ascii="Cambria" w:hAnsi="Cambria"/>
          <w:sz w:val="24"/>
          <w:szCs w:val="24"/>
        </w:rPr>
        <w:t xml:space="preserve"> to meet </w:t>
      </w:r>
      <w:r w:rsidR="00865178" w:rsidRPr="00717CA3">
        <w:rPr>
          <w:rFonts w:ascii="Cambria" w:hAnsi="Cambria"/>
          <w:b/>
          <w:bCs/>
          <w:sz w:val="24"/>
          <w:szCs w:val="24"/>
        </w:rPr>
        <w:t>eight</w:t>
      </w:r>
      <w:r w:rsidR="00865178" w:rsidRPr="00182D44">
        <w:rPr>
          <w:rFonts w:ascii="Cambria" w:hAnsi="Cambria"/>
          <w:sz w:val="24"/>
          <w:szCs w:val="24"/>
        </w:rPr>
        <w:t xml:space="preserve"> </w:t>
      </w:r>
      <w:r w:rsidR="006A7F84" w:rsidRPr="00182D44">
        <w:rPr>
          <w:rFonts w:ascii="Cambria" w:hAnsi="Cambria"/>
          <w:sz w:val="24"/>
          <w:szCs w:val="24"/>
        </w:rPr>
        <w:t xml:space="preserve">of </w:t>
      </w:r>
      <w:r w:rsidR="00865178" w:rsidRPr="00717CA3">
        <w:rPr>
          <w:rFonts w:ascii="Cambria" w:hAnsi="Cambria"/>
          <w:b/>
          <w:bCs/>
          <w:sz w:val="24"/>
          <w:szCs w:val="24"/>
        </w:rPr>
        <w:t>ten</w:t>
      </w:r>
      <w:r w:rsidR="00865178" w:rsidRPr="00182D44">
        <w:rPr>
          <w:rFonts w:ascii="Cambria" w:hAnsi="Cambria"/>
          <w:sz w:val="24"/>
          <w:szCs w:val="24"/>
        </w:rPr>
        <w:t xml:space="preserve"> </w:t>
      </w:r>
      <w:r w:rsidR="00E32E62">
        <w:rPr>
          <w:rFonts w:ascii="Cambria" w:hAnsi="Cambria"/>
          <w:sz w:val="24"/>
          <w:szCs w:val="24"/>
        </w:rPr>
        <w:t xml:space="preserve">(or 80%) </w:t>
      </w:r>
      <w:r w:rsidR="006A7F84" w:rsidRPr="00182D44">
        <w:rPr>
          <w:rFonts w:ascii="Cambria" w:hAnsi="Cambria"/>
          <w:sz w:val="24"/>
          <w:szCs w:val="24"/>
        </w:rPr>
        <w:t>established performance indicators</w:t>
      </w:r>
      <w:r w:rsidR="0018629F">
        <w:rPr>
          <w:rFonts w:ascii="Cambria" w:hAnsi="Cambria"/>
          <w:sz w:val="24"/>
          <w:szCs w:val="24"/>
        </w:rPr>
        <w:t xml:space="preserve"> under this strategic goal</w:t>
      </w:r>
      <w:r>
        <w:rPr>
          <w:rFonts w:ascii="Cambria" w:hAnsi="Cambria"/>
          <w:sz w:val="24"/>
          <w:szCs w:val="24"/>
        </w:rPr>
        <w:t xml:space="preserve"> b</w:t>
      </w:r>
      <w:r w:rsidRPr="00182D44">
        <w:rPr>
          <w:rFonts w:ascii="Cambria" w:hAnsi="Cambria"/>
          <w:sz w:val="24"/>
          <w:szCs w:val="24"/>
        </w:rPr>
        <w:t xml:space="preserve">y the end of </w:t>
      </w:r>
      <w:r>
        <w:rPr>
          <w:rFonts w:ascii="Cambria" w:hAnsi="Cambria"/>
          <w:sz w:val="24"/>
          <w:szCs w:val="24"/>
        </w:rPr>
        <w:t>FY 2025</w:t>
      </w:r>
      <w:r w:rsidR="006A7F84" w:rsidRPr="00182D44">
        <w:rPr>
          <w:rFonts w:ascii="Cambria" w:hAnsi="Cambria"/>
          <w:sz w:val="24"/>
          <w:szCs w:val="24"/>
        </w:rPr>
        <w:t>.</w:t>
      </w:r>
      <w:r w:rsidR="00492264">
        <w:rPr>
          <w:rFonts w:ascii="Cambria" w:hAnsi="Cambria"/>
          <w:sz w:val="24"/>
          <w:szCs w:val="24"/>
        </w:rPr>
        <w:t xml:space="preserve"> </w:t>
      </w:r>
    </w:p>
    <w:p w14:paraId="6CD49944" w14:textId="5C6A3F7B" w:rsidR="00FF50B5" w:rsidRDefault="003A2E28" w:rsidP="008D31FA">
      <w:pPr>
        <w:pStyle w:val="ListParagraph"/>
        <w:ind w:left="0"/>
        <w:contextualSpacing w:val="0"/>
        <w:jc w:val="both"/>
        <w:rPr>
          <w:rFonts w:ascii="Cambria" w:hAnsi="Cambria"/>
          <w:sz w:val="24"/>
          <w:szCs w:val="24"/>
        </w:rPr>
      </w:pPr>
      <w:r>
        <w:rPr>
          <w:rFonts w:ascii="Cambria" w:hAnsi="Cambria"/>
          <w:sz w:val="24"/>
          <w:szCs w:val="24"/>
        </w:rPr>
        <w:t>PCLOB</w:t>
      </w:r>
      <w:r w:rsidR="002B301E">
        <w:rPr>
          <w:rFonts w:ascii="Cambria" w:hAnsi="Cambria"/>
          <w:sz w:val="24"/>
          <w:szCs w:val="24"/>
        </w:rPr>
        <w:t>’</w:t>
      </w:r>
      <w:r>
        <w:rPr>
          <w:rFonts w:ascii="Cambria" w:hAnsi="Cambria"/>
          <w:sz w:val="24"/>
          <w:szCs w:val="24"/>
        </w:rPr>
        <w:t xml:space="preserve">s results for two </w:t>
      </w:r>
      <w:r w:rsidR="00293174">
        <w:rPr>
          <w:rFonts w:ascii="Cambria" w:hAnsi="Cambria"/>
          <w:sz w:val="24"/>
          <w:szCs w:val="24"/>
        </w:rPr>
        <w:t>measures (</w:t>
      </w:r>
      <w:r w:rsidR="009E47D3">
        <w:rPr>
          <w:rFonts w:ascii="Cambria" w:hAnsi="Cambria"/>
          <w:sz w:val="24"/>
          <w:szCs w:val="24"/>
        </w:rPr>
        <w:t>#</w:t>
      </w:r>
      <w:r>
        <w:rPr>
          <w:rFonts w:ascii="Cambria" w:hAnsi="Cambria"/>
          <w:sz w:val="24"/>
          <w:szCs w:val="24"/>
        </w:rPr>
        <w:t>1.1.1 and #1.2.3) improved from off-track to on-track</w:t>
      </w:r>
      <w:r w:rsidR="009E47D3">
        <w:rPr>
          <w:rFonts w:ascii="Cambria" w:hAnsi="Cambria"/>
          <w:sz w:val="24"/>
          <w:szCs w:val="24"/>
        </w:rPr>
        <w:t xml:space="preserve"> in FY 2025</w:t>
      </w:r>
      <w:r>
        <w:rPr>
          <w:rFonts w:ascii="Cambria" w:hAnsi="Cambria"/>
          <w:sz w:val="24"/>
          <w:szCs w:val="24"/>
        </w:rPr>
        <w:t xml:space="preserve"> </w:t>
      </w:r>
      <w:r w:rsidR="00293174">
        <w:rPr>
          <w:rFonts w:ascii="Cambria" w:hAnsi="Cambria"/>
          <w:sz w:val="24"/>
          <w:szCs w:val="24"/>
        </w:rPr>
        <w:t>because of</w:t>
      </w:r>
      <w:r>
        <w:rPr>
          <w:rFonts w:ascii="Cambria" w:hAnsi="Cambria"/>
          <w:sz w:val="24"/>
          <w:szCs w:val="24"/>
        </w:rPr>
        <w:t xml:space="preserve"> the agency’s efforts to</w:t>
      </w:r>
      <w:r w:rsidR="002B301E">
        <w:rPr>
          <w:rFonts w:ascii="Cambria" w:hAnsi="Cambria"/>
          <w:sz w:val="24"/>
          <w:szCs w:val="24"/>
        </w:rPr>
        <w:t xml:space="preserve"> approve new projects and provide </w:t>
      </w:r>
      <w:r w:rsidR="00293174">
        <w:rPr>
          <w:rFonts w:ascii="Cambria" w:hAnsi="Cambria"/>
          <w:sz w:val="24"/>
          <w:szCs w:val="24"/>
        </w:rPr>
        <w:t xml:space="preserve">pertinent </w:t>
      </w:r>
      <w:r w:rsidR="002B301E">
        <w:rPr>
          <w:rFonts w:ascii="Cambria" w:hAnsi="Cambria"/>
          <w:sz w:val="24"/>
          <w:szCs w:val="24"/>
        </w:rPr>
        <w:t>training to staff</w:t>
      </w:r>
      <w:r w:rsidR="009E47D3">
        <w:rPr>
          <w:rFonts w:ascii="Cambria" w:hAnsi="Cambria"/>
          <w:sz w:val="24"/>
          <w:szCs w:val="24"/>
        </w:rPr>
        <w:t>.</w:t>
      </w:r>
      <w:r w:rsidR="002B301E">
        <w:rPr>
          <w:rFonts w:ascii="Cambria" w:hAnsi="Cambria"/>
          <w:sz w:val="24"/>
          <w:szCs w:val="24"/>
        </w:rPr>
        <w:t xml:space="preserve"> However, </w:t>
      </w:r>
      <w:r w:rsidR="008D31FA">
        <w:rPr>
          <w:rFonts w:ascii="Cambria" w:hAnsi="Cambria"/>
          <w:sz w:val="24"/>
          <w:szCs w:val="24"/>
        </w:rPr>
        <w:t xml:space="preserve">two of the agency’s measures relating to recommendations assessment reports </w:t>
      </w:r>
      <w:r w:rsidR="002B301E">
        <w:rPr>
          <w:rFonts w:ascii="Cambria" w:hAnsi="Cambria"/>
          <w:sz w:val="24"/>
          <w:szCs w:val="24"/>
        </w:rPr>
        <w:t>(</w:t>
      </w:r>
      <w:r w:rsidR="009E47D3">
        <w:rPr>
          <w:rFonts w:ascii="Cambria" w:hAnsi="Cambria"/>
          <w:sz w:val="24"/>
          <w:szCs w:val="24"/>
        </w:rPr>
        <w:t>#</w:t>
      </w:r>
      <w:r w:rsidR="002B301E">
        <w:rPr>
          <w:rFonts w:ascii="Cambria" w:hAnsi="Cambria"/>
          <w:sz w:val="24"/>
          <w:szCs w:val="24"/>
        </w:rPr>
        <w:t xml:space="preserve">1.3.1 and #1.3.2) were deemed as </w:t>
      </w:r>
      <w:r w:rsidR="008D31FA">
        <w:rPr>
          <w:rFonts w:ascii="Cambria" w:hAnsi="Cambria"/>
          <w:sz w:val="24"/>
          <w:szCs w:val="24"/>
        </w:rPr>
        <w:t xml:space="preserve">off-track since the mission </w:t>
      </w:r>
      <w:r w:rsidR="00D544FC">
        <w:rPr>
          <w:rFonts w:ascii="Cambria" w:hAnsi="Cambria"/>
          <w:sz w:val="24"/>
          <w:szCs w:val="24"/>
        </w:rPr>
        <w:t xml:space="preserve">was </w:t>
      </w:r>
      <w:r w:rsidR="008D31FA">
        <w:rPr>
          <w:rFonts w:ascii="Cambria" w:hAnsi="Cambria"/>
          <w:sz w:val="24"/>
          <w:szCs w:val="24"/>
        </w:rPr>
        <w:t>focus</w:t>
      </w:r>
      <w:r w:rsidR="00D544FC">
        <w:rPr>
          <w:rFonts w:ascii="Cambria" w:hAnsi="Cambria"/>
          <w:sz w:val="24"/>
          <w:szCs w:val="24"/>
        </w:rPr>
        <w:t xml:space="preserve">ed on </w:t>
      </w:r>
      <w:r w:rsidR="008D31FA">
        <w:rPr>
          <w:rFonts w:ascii="Cambria" w:hAnsi="Cambria"/>
          <w:sz w:val="24"/>
          <w:szCs w:val="24"/>
        </w:rPr>
        <w:t>other workstreams</w:t>
      </w:r>
      <w:r w:rsidR="002B301E">
        <w:rPr>
          <w:rFonts w:ascii="Cambria" w:hAnsi="Cambria"/>
          <w:sz w:val="24"/>
          <w:szCs w:val="24"/>
        </w:rPr>
        <w:t xml:space="preserve"> in FY 2025</w:t>
      </w:r>
      <w:r w:rsidR="008D31FA">
        <w:rPr>
          <w:rFonts w:ascii="Cambria" w:hAnsi="Cambria"/>
          <w:sz w:val="24"/>
          <w:szCs w:val="24"/>
        </w:rPr>
        <w:t xml:space="preserve">. </w:t>
      </w:r>
    </w:p>
    <w:p w14:paraId="6354EBF5" w14:textId="0F952430" w:rsidR="003A2E28" w:rsidRPr="00C27D11" w:rsidRDefault="0058101D" w:rsidP="00EE3EAB">
      <w:pPr>
        <w:pStyle w:val="ListParagraph"/>
        <w:ind w:left="0"/>
        <w:contextualSpacing w:val="0"/>
        <w:jc w:val="center"/>
        <w:rPr>
          <w:rFonts w:ascii="Cambria" w:hAnsi="Cambria"/>
          <w:sz w:val="24"/>
          <w:szCs w:val="24"/>
        </w:rPr>
      </w:pPr>
      <w:r w:rsidRPr="0058101D">
        <w:rPr>
          <w:rFonts w:ascii="Cambria" w:hAnsi="Cambria"/>
          <w:noProof/>
          <w:sz w:val="24"/>
          <w:szCs w:val="24"/>
        </w:rPr>
        <w:drawing>
          <wp:inline distT="0" distB="0" distL="0" distR="0" wp14:anchorId="595B1491" wp14:editId="3AF2DF45">
            <wp:extent cx="5943600" cy="5570220"/>
            <wp:effectExtent l="0" t="0" r="0" b="0"/>
            <wp:docPr id="19205131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5570220"/>
                    </a:xfrm>
                    <a:prstGeom prst="rect">
                      <a:avLst/>
                    </a:prstGeom>
                    <a:noFill/>
                    <a:ln>
                      <a:noFill/>
                    </a:ln>
                  </pic:spPr>
                </pic:pic>
              </a:graphicData>
            </a:graphic>
          </wp:inline>
        </w:drawing>
      </w:r>
      <w:r w:rsidR="00790C7C" w:rsidRPr="00790C7C">
        <w:rPr>
          <w:rFonts w:ascii="Cambria" w:hAnsi="Cambria"/>
          <w:sz w:val="24"/>
          <w:szCs w:val="24"/>
        </w:rPr>
        <w:t xml:space="preserve"> </w:t>
      </w:r>
    </w:p>
    <w:p w14:paraId="1B282ABA" w14:textId="372ACEFB" w:rsidR="00606534" w:rsidRDefault="00606534" w:rsidP="00182D44">
      <w:pPr>
        <w:pStyle w:val="ListParagraph"/>
        <w:ind w:left="0"/>
        <w:rPr>
          <w:rFonts w:eastAsia="Times New Roman"/>
        </w:rPr>
        <w:sectPr w:rsidR="00606534" w:rsidSect="00A47B91">
          <w:headerReference w:type="default" r:id="rId65"/>
          <w:pgSz w:w="12240" w:h="15840"/>
          <w:pgMar w:top="1871" w:right="1440" w:bottom="1080" w:left="1440" w:header="450" w:footer="720" w:gutter="0"/>
          <w:cols w:space="720"/>
          <w:docGrid w:linePitch="360"/>
        </w:sectPr>
      </w:pPr>
    </w:p>
    <w:p w14:paraId="5EF7A94A" w14:textId="4E0D3A6B" w:rsidR="00F91672" w:rsidRPr="00182D44" w:rsidRDefault="00F91672" w:rsidP="002345D3">
      <w:pPr>
        <w:pStyle w:val="Heading3"/>
        <w:rPr>
          <w:sz w:val="24"/>
          <w:szCs w:val="24"/>
        </w:rPr>
      </w:pPr>
      <w:bookmarkStart w:id="63" w:name="_Toc179295662"/>
      <w:bookmarkStart w:id="64" w:name="_Toc212119659"/>
      <w:bookmarkStart w:id="65" w:name="_Toc213421233"/>
      <w:r w:rsidRPr="00182D44">
        <w:rPr>
          <w:sz w:val="24"/>
          <w:szCs w:val="24"/>
        </w:rPr>
        <w:lastRenderedPageBreak/>
        <w:t>STRATEGIC GOAL 2: ADVICE</w:t>
      </w:r>
      <w:bookmarkEnd w:id="63"/>
      <w:bookmarkEnd w:id="64"/>
      <w:bookmarkEnd w:id="65"/>
    </w:p>
    <w:p w14:paraId="5E266827" w14:textId="77777777" w:rsidR="00F91672" w:rsidRPr="000C50CC" w:rsidRDefault="00F91672" w:rsidP="00852464">
      <w:pPr>
        <w:pBdr>
          <w:bottom w:val="single" w:sz="12" w:space="6" w:color="auto"/>
        </w:pBdr>
        <w:jc w:val="both"/>
        <w:rPr>
          <w:rFonts w:ascii="Cambria" w:hAnsi="Cambria"/>
          <w:i/>
          <w:iCs/>
          <w:sz w:val="24"/>
          <w:szCs w:val="24"/>
        </w:rPr>
      </w:pPr>
      <w:r w:rsidRPr="000C50CC">
        <w:rPr>
          <w:rFonts w:ascii="Cambria" w:hAnsi="Cambria"/>
          <w:i/>
          <w:iCs/>
          <w:sz w:val="24"/>
          <w:szCs w:val="24"/>
        </w:rPr>
        <w:t>Provide effective and timely advice to ensure that liberty concerns are appropriately considered in the development and implementation of laws, regulations, and policies related to efforts to protect the nation against terrorism.</w:t>
      </w:r>
    </w:p>
    <w:p w14:paraId="02768C12" w14:textId="77777777" w:rsidR="00F91672" w:rsidRPr="000C50CC" w:rsidRDefault="00F91672" w:rsidP="00F91672">
      <w:pPr>
        <w:jc w:val="both"/>
        <w:rPr>
          <w:rFonts w:ascii="Cambria" w:hAnsi="Cambria"/>
          <w:b/>
          <w:bCs/>
          <w:sz w:val="24"/>
          <w:szCs w:val="24"/>
        </w:rPr>
      </w:pPr>
      <w:bookmarkStart w:id="66" w:name="_Hlk146878435"/>
      <w:r w:rsidRPr="005430F9">
        <w:rPr>
          <w:rFonts w:ascii="Cambria" w:hAnsi="Cambria"/>
          <w:b/>
          <w:bCs/>
          <w:sz w:val="24"/>
          <w:szCs w:val="24"/>
        </w:rPr>
        <w:t>Background</w:t>
      </w:r>
    </w:p>
    <w:p w14:paraId="18E8313C" w14:textId="282E139E" w:rsidR="00F91672" w:rsidRPr="000C50CC" w:rsidRDefault="001602AD" w:rsidP="00F91672">
      <w:pPr>
        <w:jc w:val="both"/>
        <w:rPr>
          <w:rFonts w:ascii="Cambria" w:hAnsi="Cambria"/>
          <w:iCs/>
          <w:sz w:val="24"/>
          <w:szCs w:val="24"/>
        </w:rPr>
      </w:pPr>
      <w:r w:rsidRPr="001602AD">
        <w:rPr>
          <w:rFonts w:ascii="Cambria" w:hAnsi="Cambria"/>
          <w:iCs/>
          <w:sz w:val="24"/>
          <w:szCs w:val="24"/>
        </w:rPr>
        <w:t>PCLOB advises the White House and other executive branch agencies to ensure that privacy and civil liberties protections are appropriately considered in programs and policies related to counterterrorism efforts.</w:t>
      </w:r>
      <w:r>
        <w:rPr>
          <w:rFonts w:ascii="Cambria" w:hAnsi="Cambria"/>
          <w:iCs/>
          <w:sz w:val="24"/>
          <w:szCs w:val="24"/>
        </w:rPr>
        <w:t xml:space="preserve"> </w:t>
      </w:r>
    </w:p>
    <w:p w14:paraId="1EB58219" w14:textId="0B37F643" w:rsidR="00F91672" w:rsidRPr="000C50CC" w:rsidRDefault="00F91672" w:rsidP="00F91672">
      <w:pPr>
        <w:jc w:val="both"/>
        <w:rPr>
          <w:rFonts w:ascii="Cambria" w:hAnsi="Cambria"/>
          <w:b/>
          <w:bCs/>
          <w:sz w:val="24"/>
          <w:szCs w:val="24"/>
        </w:rPr>
      </w:pPr>
      <w:r w:rsidRPr="000C50CC">
        <w:rPr>
          <w:rFonts w:ascii="Cambria" w:hAnsi="Cambria"/>
          <w:b/>
          <w:bCs/>
          <w:sz w:val="24"/>
          <w:szCs w:val="24"/>
        </w:rPr>
        <w:t xml:space="preserve">FY </w:t>
      </w:r>
      <w:r w:rsidR="0049075B">
        <w:rPr>
          <w:rFonts w:ascii="Cambria" w:hAnsi="Cambria"/>
          <w:b/>
          <w:bCs/>
          <w:sz w:val="24"/>
          <w:szCs w:val="24"/>
        </w:rPr>
        <w:t>2025</w:t>
      </w:r>
      <w:r w:rsidRPr="000C50CC">
        <w:rPr>
          <w:rFonts w:ascii="Cambria" w:hAnsi="Cambria"/>
          <w:b/>
          <w:bCs/>
          <w:sz w:val="24"/>
          <w:szCs w:val="24"/>
        </w:rPr>
        <w:t xml:space="preserve"> Accomplishments</w:t>
      </w:r>
    </w:p>
    <w:p w14:paraId="7CB659BD" w14:textId="0F9B5176" w:rsidR="00F91672" w:rsidRPr="000C50CC" w:rsidRDefault="00F91672" w:rsidP="00F91672">
      <w:pPr>
        <w:numPr>
          <w:ilvl w:val="0"/>
          <w:numId w:val="6"/>
        </w:numPr>
        <w:spacing w:before="240" w:line="276" w:lineRule="auto"/>
        <w:ind w:left="720"/>
        <w:jc w:val="both"/>
        <w:rPr>
          <w:rFonts w:ascii="Cambria" w:hAnsi="Cambria"/>
          <w:sz w:val="24"/>
          <w:szCs w:val="24"/>
        </w:rPr>
      </w:pPr>
      <w:bookmarkStart w:id="67" w:name="_Hlk176509157"/>
      <w:bookmarkEnd w:id="66"/>
      <w:r w:rsidRPr="000C50CC">
        <w:rPr>
          <w:rFonts w:ascii="Cambria" w:hAnsi="Cambria"/>
          <w:b/>
          <w:bCs/>
          <w:sz w:val="24"/>
          <w:szCs w:val="24"/>
        </w:rPr>
        <w:t>Coordination of Executive Branch Privacy and Civil Liberties Activities Under Section 803.</w:t>
      </w:r>
      <w:r w:rsidRPr="000C50CC">
        <w:rPr>
          <w:rFonts w:ascii="Cambria" w:hAnsi="Cambria"/>
          <w:sz w:val="24"/>
          <w:szCs w:val="24"/>
        </w:rPr>
        <w:t xml:space="preserve"> Section 803 </w:t>
      </w:r>
      <w:r w:rsidRPr="000C50CC">
        <w:rPr>
          <w:rFonts w:ascii="Cambria" w:eastAsia="Times New Roman" w:hAnsi="Cambria"/>
          <w:sz w:val="24"/>
          <w:szCs w:val="24"/>
        </w:rPr>
        <w:t xml:space="preserve">of the Implementing Recommendations of the 9/11 Commission Act of 2007 </w:t>
      </w:r>
      <w:r w:rsidRPr="000C50CC">
        <w:rPr>
          <w:rFonts w:ascii="Cambria" w:hAnsi="Cambria"/>
          <w:sz w:val="24"/>
          <w:szCs w:val="24"/>
        </w:rPr>
        <w:t xml:space="preserve">requires agencies’ </w:t>
      </w:r>
      <w:r w:rsidR="008852A7">
        <w:rPr>
          <w:rFonts w:ascii="Cambria" w:hAnsi="Cambria"/>
          <w:sz w:val="24"/>
          <w:szCs w:val="24"/>
        </w:rPr>
        <w:t>C</w:t>
      </w:r>
      <w:r w:rsidRPr="000C50CC">
        <w:rPr>
          <w:rFonts w:ascii="Cambria" w:hAnsi="Cambria"/>
          <w:sz w:val="24"/>
          <w:szCs w:val="24"/>
        </w:rPr>
        <w:t xml:space="preserve">ivil </w:t>
      </w:r>
      <w:r w:rsidR="008852A7">
        <w:rPr>
          <w:rFonts w:ascii="Cambria" w:hAnsi="Cambria"/>
          <w:sz w:val="24"/>
          <w:szCs w:val="24"/>
        </w:rPr>
        <w:t>L</w:t>
      </w:r>
      <w:r w:rsidRPr="000C50CC">
        <w:rPr>
          <w:rFonts w:ascii="Cambria" w:hAnsi="Cambria"/>
          <w:sz w:val="24"/>
          <w:szCs w:val="24"/>
        </w:rPr>
        <w:t xml:space="preserve">iberties </w:t>
      </w:r>
      <w:r w:rsidR="002269DF">
        <w:rPr>
          <w:rFonts w:ascii="Cambria" w:hAnsi="Cambria"/>
          <w:sz w:val="24"/>
          <w:szCs w:val="24"/>
        </w:rPr>
        <w:t xml:space="preserve">and </w:t>
      </w:r>
      <w:r w:rsidR="008852A7">
        <w:rPr>
          <w:rFonts w:ascii="Cambria" w:hAnsi="Cambria"/>
          <w:sz w:val="24"/>
          <w:szCs w:val="24"/>
        </w:rPr>
        <w:t>P</w:t>
      </w:r>
      <w:r w:rsidR="002269DF">
        <w:rPr>
          <w:rFonts w:ascii="Cambria" w:hAnsi="Cambria"/>
          <w:sz w:val="24"/>
          <w:szCs w:val="24"/>
        </w:rPr>
        <w:t xml:space="preserve">rivacy </w:t>
      </w:r>
      <w:r w:rsidR="008852A7">
        <w:rPr>
          <w:rFonts w:ascii="Cambria" w:hAnsi="Cambria"/>
          <w:sz w:val="24"/>
          <w:szCs w:val="24"/>
        </w:rPr>
        <w:t>O</w:t>
      </w:r>
      <w:r w:rsidR="002269DF">
        <w:rPr>
          <w:rFonts w:ascii="Cambria" w:hAnsi="Cambria"/>
          <w:sz w:val="24"/>
          <w:szCs w:val="24"/>
        </w:rPr>
        <w:t>fficers (CLPOs</w:t>
      </w:r>
      <w:r w:rsidRPr="000C50CC">
        <w:rPr>
          <w:rFonts w:ascii="Cambria" w:hAnsi="Cambria"/>
          <w:sz w:val="24"/>
          <w:szCs w:val="24"/>
        </w:rPr>
        <w:t>) to issue reports</w:t>
      </w:r>
      <w:r w:rsidR="00C13522">
        <w:rPr>
          <w:rFonts w:ascii="Cambria" w:hAnsi="Cambria"/>
          <w:sz w:val="24"/>
          <w:szCs w:val="24"/>
        </w:rPr>
        <w:t xml:space="preserve">, </w:t>
      </w:r>
      <w:r w:rsidR="00C13522" w:rsidRPr="00C13522">
        <w:rPr>
          <w:rFonts w:ascii="Cambria" w:hAnsi="Cambria"/>
          <w:sz w:val="24"/>
          <w:szCs w:val="24"/>
        </w:rPr>
        <w:t xml:space="preserve">not less than </w:t>
      </w:r>
      <w:r w:rsidR="00304007">
        <w:rPr>
          <w:rFonts w:ascii="Cambria" w:hAnsi="Cambria"/>
          <w:sz w:val="24"/>
          <w:szCs w:val="24"/>
        </w:rPr>
        <w:t>annually</w:t>
      </w:r>
      <w:r w:rsidR="00C13522">
        <w:rPr>
          <w:rFonts w:ascii="Cambria" w:hAnsi="Cambria"/>
          <w:sz w:val="24"/>
          <w:szCs w:val="24"/>
        </w:rPr>
        <w:t>,</w:t>
      </w:r>
      <w:r w:rsidR="00304007">
        <w:rPr>
          <w:rFonts w:ascii="Cambria" w:hAnsi="Cambria"/>
          <w:sz w:val="24"/>
          <w:szCs w:val="24"/>
        </w:rPr>
        <w:t xml:space="preserve"> </w:t>
      </w:r>
      <w:r w:rsidRPr="000C50CC">
        <w:rPr>
          <w:rFonts w:ascii="Cambria" w:hAnsi="Cambria"/>
          <w:sz w:val="24"/>
          <w:szCs w:val="24"/>
        </w:rPr>
        <w:t xml:space="preserve">about their activities to their respective agency heads, Congress, and </w:t>
      </w:r>
      <w:r>
        <w:rPr>
          <w:rFonts w:ascii="Cambria" w:hAnsi="Cambria"/>
          <w:sz w:val="24"/>
          <w:szCs w:val="24"/>
        </w:rPr>
        <w:t>PCLOB</w:t>
      </w:r>
      <w:r w:rsidRPr="000C50CC">
        <w:rPr>
          <w:rFonts w:ascii="Cambria" w:hAnsi="Cambria"/>
          <w:sz w:val="24"/>
          <w:szCs w:val="24"/>
        </w:rPr>
        <w:t>. At a minimum, the reports must detail the following:</w:t>
      </w:r>
      <w:r w:rsidRPr="005430F9">
        <w:t xml:space="preserve"> </w:t>
      </w:r>
    </w:p>
    <w:p w14:paraId="7A9DA5EA" w14:textId="7BBF8ABD" w:rsidR="00F91672" w:rsidRPr="000C50CC" w:rsidRDefault="00F91672" w:rsidP="00AD7A93">
      <w:pPr>
        <w:keepNext/>
        <w:keepLines/>
        <w:numPr>
          <w:ilvl w:val="0"/>
          <w:numId w:val="8"/>
        </w:numPr>
        <w:spacing w:after="120" w:line="276" w:lineRule="auto"/>
        <w:ind w:left="1080"/>
        <w:jc w:val="both"/>
        <w:rPr>
          <w:rFonts w:ascii="Cambria" w:hAnsi="Cambria"/>
          <w:sz w:val="24"/>
          <w:szCs w:val="24"/>
        </w:rPr>
      </w:pPr>
      <w:r w:rsidRPr="000C50CC">
        <w:rPr>
          <w:rFonts w:ascii="Cambria" w:hAnsi="Cambria"/>
          <w:sz w:val="24"/>
          <w:szCs w:val="24"/>
        </w:rPr>
        <w:t xml:space="preserve">Information on the number and types of reviews </w:t>
      </w:r>
      <w:proofErr w:type="gramStart"/>
      <w:r w:rsidRPr="000C50CC">
        <w:rPr>
          <w:rFonts w:ascii="Cambria" w:hAnsi="Cambria"/>
          <w:sz w:val="24"/>
          <w:szCs w:val="24"/>
        </w:rPr>
        <w:t>undertaken;</w:t>
      </w:r>
      <w:proofErr w:type="gramEnd"/>
    </w:p>
    <w:p w14:paraId="0CF2ECC9" w14:textId="403E3EB8" w:rsidR="00F91672" w:rsidRPr="000C50CC" w:rsidRDefault="00F91672" w:rsidP="00AD7A93">
      <w:pPr>
        <w:keepNext/>
        <w:keepLines/>
        <w:numPr>
          <w:ilvl w:val="0"/>
          <w:numId w:val="8"/>
        </w:numPr>
        <w:spacing w:after="120" w:line="276" w:lineRule="auto"/>
        <w:ind w:left="1080"/>
        <w:jc w:val="both"/>
        <w:rPr>
          <w:rFonts w:ascii="Cambria" w:hAnsi="Cambria"/>
          <w:sz w:val="24"/>
          <w:szCs w:val="24"/>
        </w:rPr>
      </w:pPr>
      <w:r w:rsidRPr="000C50CC">
        <w:rPr>
          <w:rFonts w:ascii="Cambria" w:hAnsi="Cambria"/>
          <w:sz w:val="24"/>
          <w:szCs w:val="24"/>
        </w:rPr>
        <w:t xml:space="preserve">The type of advice provided, and the response given to such </w:t>
      </w:r>
      <w:proofErr w:type="gramStart"/>
      <w:r w:rsidRPr="000C50CC">
        <w:rPr>
          <w:rFonts w:ascii="Cambria" w:hAnsi="Cambria"/>
          <w:sz w:val="24"/>
          <w:szCs w:val="24"/>
        </w:rPr>
        <w:t>advice;</w:t>
      </w:r>
      <w:proofErr w:type="gramEnd"/>
    </w:p>
    <w:p w14:paraId="5E72885A" w14:textId="2EF8F2DF" w:rsidR="00F91672" w:rsidRPr="000C50CC" w:rsidRDefault="00C65035" w:rsidP="00AD7A93">
      <w:pPr>
        <w:keepNext/>
        <w:keepLines/>
        <w:numPr>
          <w:ilvl w:val="0"/>
          <w:numId w:val="8"/>
        </w:numPr>
        <w:spacing w:after="120" w:line="276" w:lineRule="auto"/>
        <w:ind w:left="1080"/>
        <w:jc w:val="both"/>
        <w:rPr>
          <w:rFonts w:ascii="Cambria" w:hAnsi="Cambria"/>
          <w:sz w:val="24"/>
          <w:szCs w:val="24"/>
        </w:rPr>
      </w:pPr>
      <w:r>
        <w:rPr>
          <w:noProof/>
        </w:rPr>
        <w:drawing>
          <wp:anchor distT="0" distB="0" distL="114300" distR="114300" simplePos="0" relativeHeight="252050944" behindDoc="0" locked="0" layoutInCell="1" allowOverlap="1" wp14:anchorId="3EDC4ECC" wp14:editId="1CE8DA7F">
            <wp:simplePos x="0" y="0"/>
            <wp:positionH relativeFrom="page">
              <wp:posOffset>4152900</wp:posOffset>
            </wp:positionH>
            <wp:positionV relativeFrom="page">
              <wp:posOffset>6009005</wp:posOffset>
            </wp:positionV>
            <wp:extent cx="2674620" cy="3161030"/>
            <wp:effectExtent l="57150" t="57150" r="87630" b="96520"/>
            <wp:wrapSquare wrapText="bothSides"/>
            <wp:docPr id="159963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32454" name="Picture 1"/>
                    <pic:cNvPicPr/>
                  </pic:nvPicPr>
                  <pic:blipFill>
                    <a:blip r:embed="rId66">
                      <a:extLst>
                        <a:ext uri="{28A0092B-C50C-407E-A947-70E740481C1C}">
                          <a14:useLocalDpi xmlns:a14="http://schemas.microsoft.com/office/drawing/2010/main" val="0"/>
                        </a:ext>
                      </a:extLst>
                    </a:blip>
                    <a:srcRect l="1513" r="1513"/>
                    <a:stretch>
                      <a:fillRect/>
                    </a:stretch>
                  </pic:blipFill>
                  <pic:spPr bwMode="auto">
                    <a:xfrm>
                      <a:off x="0" y="0"/>
                      <a:ext cx="2674620" cy="3161030"/>
                    </a:xfrm>
                    <a:prstGeom prst="rect">
                      <a:avLst/>
                    </a:prstGeom>
                    <a:ln w="127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1672" w:rsidRPr="000C50CC">
        <w:rPr>
          <w:rFonts w:ascii="Cambria" w:hAnsi="Cambria"/>
          <w:sz w:val="24"/>
          <w:szCs w:val="24"/>
        </w:rPr>
        <w:t xml:space="preserve">The number and nature of the complaints received by the department, agency, or element concerned </w:t>
      </w:r>
      <w:proofErr w:type="gramStart"/>
      <w:r w:rsidR="00F91672" w:rsidRPr="000C50CC">
        <w:rPr>
          <w:rFonts w:ascii="Cambria" w:hAnsi="Cambria"/>
          <w:sz w:val="24"/>
          <w:szCs w:val="24"/>
        </w:rPr>
        <w:t>for</w:t>
      </w:r>
      <w:proofErr w:type="gramEnd"/>
      <w:r w:rsidR="00F91672" w:rsidRPr="000C50CC">
        <w:rPr>
          <w:rFonts w:ascii="Cambria" w:hAnsi="Cambria"/>
          <w:sz w:val="24"/>
          <w:szCs w:val="24"/>
        </w:rPr>
        <w:t xml:space="preserve"> alleged violations; and</w:t>
      </w:r>
    </w:p>
    <w:p w14:paraId="6AE5BA69" w14:textId="663FEE5C" w:rsidR="00F91672" w:rsidRPr="000C50CC" w:rsidRDefault="00F91672" w:rsidP="00F91672">
      <w:pPr>
        <w:numPr>
          <w:ilvl w:val="0"/>
          <w:numId w:val="8"/>
        </w:numPr>
        <w:spacing w:after="120" w:line="276" w:lineRule="auto"/>
        <w:ind w:left="1080"/>
        <w:jc w:val="both"/>
        <w:rPr>
          <w:rFonts w:ascii="Cambria" w:eastAsia="Times New Roman" w:hAnsi="Cambria"/>
          <w:sz w:val="24"/>
        </w:rPr>
      </w:pPr>
      <w:r w:rsidRPr="000C50CC">
        <w:rPr>
          <w:rFonts w:ascii="Cambria" w:hAnsi="Cambria"/>
          <w:sz w:val="24"/>
          <w:szCs w:val="24"/>
        </w:rPr>
        <w:t>A summary of the disposition of such complaints, the reviews and inquiries conducted, and the impact of the activities of such officer</w:t>
      </w:r>
      <w:r w:rsidR="00C52F00">
        <w:rPr>
          <w:rFonts w:ascii="Cambria" w:hAnsi="Cambria"/>
          <w:sz w:val="24"/>
          <w:szCs w:val="24"/>
        </w:rPr>
        <w:t>s</w:t>
      </w:r>
      <w:r w:rsidRPr="000C50CC">
        <w:rPr>
          <w:rFonts w:ascii="Cambria" w:hAnsi="Cambria"/>
          <w:sz w:val="24"/>
          <w:szCs w:val="24"/>
        </w:rPr>
        <w:t>.</w:t>
      </w:r>
    </w:p>
    <w:p w14:paraId="6B6DC31F" w14:textId="4ECB1D73" w:rsidR="00E80C83" w:rsidRPr="000C50CC" w:rsidRDefault="00977D4C" w:rsidP="00753293">
      <w:pPr>
        <w:spacing w:line="276" w:lineRule="auto"/>
        <w:ind w:left="720"/>
        <w:jc w:val="both"/>
        <w:rPr>
          <w:rFonts w:ascii="Cambria" w:eastAsia="Times New Roman" w:hAnsi="Cambria"/>
          <w:bCs/>
          <w:color w:val="000000"/>
          <w:sz w:val="24"/>
          <w:szCs w:val="24"/>
        </w:rPr>
      </w:pPr>
      <w:proofErr w:type="gramStart"/>
      <w:r w:rsidRPr="00BC03F5">
        <w:rPr>
          <w:rFonts w:ascii="Cambria" w:hAnsi="Cambria"/>
          <w:noProof/>
          <w:sz w:val="24"/>
          <w:szCs w:val="24"/>
        </w:rPr>
        <w:t>In an</w:t>
      </w:r>
      <w:r>
        <w:rPr>
          <w:rFonts w:ascii="Cambria" w:eastAsia="Times New Roman" w:hAnsi="Cambria"/>
          <w:bCs/>
          <w:color w:val="000000"/>
          <w:sz w:val="24"/>
          <w:szCs w:val="24"/>
        </w:rPr>
        <w:t xml:space="preserve"> </w:t>
      </w:r>
      <w:r w:rsidR="00E80C83">
        <w:rPr>
          <w:rFonts w:ascii="Cambria" w:eastAsia="Times New Roman" w:hAnsi="Cambria"/>
          <w:bCs/>
          <w:color w:val="000000"/>
          <w:sz w:val="24"/>
          <w:szCs w:val="24"/>
        </w:rPr>
        <w:t xml:space="preserve">effort </w:t>
      </w:r>
      <w:r w:rsidR="00E80C83" w:rsidRPr="000C50CC">
        <w:rPr>
          <w:rFonts w:ascii="Cambria" w:eastAsia="Times New Roman" w:hAnsi="Cambria"/>
          <w:bCs/>
          <w:color w:val="000000"/>
          <w:sz w:val="24"/>
          <w:szCs w:val="24"/>
        </w:rPr>
        <w:t>to</w:t>
      </w:r>
      <w:proofErr w:type="gramEnd"/>
      <w:r w:rsidR="00E80C83" w:rsidRPr="000C50CC">
        <w:rPr>
          <w:rFonts w:ascii="Cambria" w:eastAsia="Times New Roman" w:hAnsi="Cambria"/>
          <w:bCs/>
          <w:color w:val="000000"/>
          <w:sz w:val="24"/>
          <w:szCs w:val="24"/>
        </w:rPr>
        <w:t xml:space="preserve"> increase public access to and visibility of Section 803 reports</w:t>
      </w:r>
      <w:r>
        <w:rPr>
          <w:rFonts w:ascii="Cambria" w:eastAsia="Times New Roman" w:hAnsi="Cambria"/>
          <w:bCs/>
          <w:color w:val="000000"/>
          <w:sz w:val="24"/>
          <w:szCs w:val="24"/>
        </w:rPr>
        <w:t>,</w:t>
      </w:r>
      <w:r w:rsidR="00E80C83">
        <w:rPr>
          <w:rFonts w:ascii="Cambria" w:eastAsia="Times New Roman" w:hAnsi="Cambria"/>
          <w:bCs/>
          <w:color w:val="000000"/>
          <w:sz w:val="24"/>
          <w:szCs w:val="24"/>
        </w:rPr>
        <w:t xml:space="preserve"> in FY 2023</w:t>
      </w:r>
      <w:r>
        <w:rPr>
          <w:rFonts w:ascii="Cambria" w:eastAsia="Times New Roman" w:hAnsi="Cambria"/>
          <w:bCs/>
          <w:color w:val="000000"/>
          <w:sz w:val="24"/>
          <w:szCs w:val="24"/>
        </w:rPr>
        <w:t>, PCLOB</w:t>
      </w:r>
      <w:r w:rsidR="00E80C83">
        <w:rPr>
          <w:rFonts w:ascii="Cambria" w:eastAsia="Times New Roman" w:hAnsi="Cambria"/>
          <w:bCs/>
          <w:color w:val="000000"/>
          <w:sz w:val="24"/>
          <w:szCs w:val="24"/>
        </w:rPr>
        <w:t xml:space="preserve"> </w:t>
      </w:r>
      <w:r>
        <w:rPr>
          <w:rFonts w:ascii="Cambria" w:eastAsia="Times New Roman" w:hAnsi="Cambria"/>
          <w:bCs/>
          <w:color w:val="000000"/>
          <w:sz w:val="24"/>
          <w:szCs w:val="24"/>
        </w:rPr>
        <w:t>created</w:t>
      </w:r>
      <w:r w:rsidR="00E80C83">
        <w:rPr>
          <w:rFonts w:ascii="Cambria" w:eastAsia="Times New Roman" w:hAnsi="Cambria"/>
          <w:bCs/>
          <w:color w:val="000000"/>
          <w:sz w:val="24"/>
          <w:szCs w:val="24"/>
        </w:rPr>
        <w:t xml:space="preserve"> </w:t>
      </w:r>
      <w:r w:rsidR="00E80C83" w:rsidRPr="000C50CC">
        <w:rPr>
          <w:rFonts w:ascii="Cambria" w:eastAsia="Times New Roman" w:hAnsi="Cambria"/>
          <w:bCs/>
          <w:color w:val="000000"/>
          <w:sz w:val="24"/>
          <w:szCs w:val="24"/>
        </w:rPr>
        <w:t xml:space="preserve">a new page on the agency’s website entitled </w:t>
      </w:r>
      <w:hyperlink r:id="rId67" w:history="1">
        <w:r w:rsidR="00E80C83" w:rsidRPr="00AD7A93">
          <w:rPr>
            <w:rStyle w:val="Hyperlink"/>
            <w:rFonts w:ascii="Cambria" w:eastAsia="Times New Roman" w:hAnsi="Cambria"/>
            <w:bCs/>
            <w:i/>
            <w:iCs/>
            <w:color w:val="143F6A" w:themeColor="accent3" w:themeShade="80"/>
            <w:sz w:val="24"/>
            <w:szCs w:val="24"/>
          </w:rPr>
          <w:t>Section 803</w:t>
        </w:r>
      </w:hyperlink>
      <w:r w:rsidRPr="00BC03F5">
        <w:rPr>
          <w:rStyle w:val="Hyperlink"/>
          <w:rFonts w:ascii="Cambria" w:eastAsia="Times New Roman" w:hAnsi="Cambria"/>
          <w:bCs/>
          <w:i/>
          <w:iCs/>
          <w:color w:val="143F6A" w:themeColor="accent3" w:themeShade="80"/>
          <w:sz w:val="24"/>
          <w:szCs w:val="24"/>
          <w:u w:val="none"/>
        </w:rPr>
        <w:t>.</w:t>
      </w:r>
      <w:r w:rsidR="00E80C83" w:rsidRPr="00AD7A93">
        <w:rPr>
          <w:rFonts w:ascii="Cambria" w:eastAsia="Times New Roman" w:hAnsi="Cambria"/>
          <w:bCs/>
          <w:color w:val="143F6A" w:themeColor="accent3" w:themeShade="80"/>
          <w:sz w:val="24"/>
          <w:szCs w:val="24"/>
        </w:rPr>
        <w:t xml:space="preserve"> </w:t>
      </w:r>
      <w:r>
        <w:rPr>
          <w:rFonts w:ascii="Cambria" w:eastAsia="Times New Roman" w:hAnsi="Cambria"/>
          <w:bCs/>
          <w:color w:val="000000"/>
          <w:sz w:val="24"/>
          <w:szCs w:val="24"/>
        </w:rPr>
        <w:t xml:space="preserve">This webpage </w:t>
      </w:r>
      <w:r w:rsidR="00E80C83">
        <w:rPr>
          <w:rFonts w:ascii="Cambria" w:eastAsia="Times New Roman" w:hAnsi="Cambria"/>
          <w:bCs/>
          <w:color w:val="000000"/>
          <w:sz w:val="24"/>
          <w:szCs w:val="24"/>
        </w:rPr>
        <w:t xml:space="preserve">provides </w:t>
      </w:r>
      <w:r>
        <w:rPr>
          <w:rFonts w:ascii="Cambria" w:eastAsia="Times New Roman" w:hAnsi="Cambria"/>
          <w:bCs/>
          <w:color w:val="000000"/>
          <w:sz w:val="24"/>
          <w:szCs w:val="24"/>
        </w:rPr>
        <w:t xml:space="preserve">convenient </w:t>
      </w:r>
      <w:r w:rsidR="00E80C83">
        <w:rPr>
          <w:rFonts w:ascii="Cambria" w:eastAsia="Times New Roman" w:hAnsi="Cambria"/>
          <w:bCs/>
          <w:color w:val="000000"/>
          <w:sz w:val="24"/>
          <w:szCs w:val="24"/>
        </w:rPr>
        <w:t xml:space="preserve">access to </w:t>
      </w:r>
      <w:r w:rsidR="007865F2">
        <w:rPr>
          <w:rFonts w:ascii="Cambria" w:eastAsia="Times New Roman" w:hAnsi="Cambria"/>
          <w:bCs/>
          <w:color w:val="000000"/>
          <w:sz w:val="24"/>
          <w:szCs w:val="24"/>
        </w:rPr>
        <w:t xml:space="preserve">any </w:t>
      </w:r>
      <w:r w:rsidR="00E80C83">
        <w:rPr>
          <w:rFonts w:ascii="Cambria" w:eastAsia="Times New Roman" w:hAnsi="Cambria"/>
          <w:bCs/>
          <w:color w:val="000000"/>
          <w:sz w:val="24"/>
          <w:szCs w:val="24"/>
        </w:rPr>
        <w:t xml:space="preserve">reports </w:t>
      </w:r>
      <w:r w:rsidR="007865F2">
        <w:rPr>
          <w:rFonts w:ascii="Cambria" w:eastAsia="Times New Roman" w:hAnsi="Cambria"/>
          <w:bCs/>
          <w:color w:val="000000"/>
          <w:sz w:val="24"/>
          <w:szCs w:val="24"/>
        </w:rPr>
        <w:t xml:space="preserve">PCLOB receives (see </w:t>
      </w:r>
      <w:r w:rsidR="007865F2" w:rsidRPr="00AD7A93">
        <w:rPr>
          <w:rFonts w:ascii="Cambria" w:eastAsia="Times New Roman" w:hAnsi="Cambria"/>
          <w:bCs/>
          <w:color w:val="000000"/>
          <w:sz w:val="24"/>
          <w:szCs w:val="24"/>
        </w:rPr>
        <w:t xml:space="preserve">Figure </w:t>
      </w:r>
      <w:r w:rsidR="00633A70">
        <w:rPr>
          <w:rFonts w:ascii="Cambria" w:eastAsia="Times New Roman" w:hAnsi="Cambria"/>
          <w:bCs/>
          <w:color w:val="000000"/>
          <w:sz w:val="24"/>
          <w:szCs w:val="24"/>
        </w:rPr>
        <w:t>8</w:t>
      </w:r>
      <w:r w:rsidR="00A22F0E">
        <w:rPr>
          <w:rFonts w:ascii="Cambria" w:eastAsia="Times New Roman" w:hAnsi="Cambria"/>
          <w:bCs/>
          <w:i/>
          <w:iCs/>
          <w:color w:val="000000"/>
          <w:sz w:val="24"/>
          <w:szCs w:val="24"/>
        </w:rPr>
        <w:t>,</w:t>
      </w:r>
      <w:r w:rsidR="007865F2">
        <w:rPr>
          <w:rFonts w:ascii="Cambria" w:eastAsia="Times New Roman" w:hAnsi="Cambria"/>
          <w:bCs/>
          <w:i/>
          <w:iCs/>
          <w:color w:val="000000"/>
          <w:sz w:val="24"/>
          <w:szCs w:val="24"/>
        </w:rPr>
        <w:t xml:space="preserve"> </w:t>
      </w:r>
      <w:r w:rsidR="007865F2" w:rsidRPr="00AD7A93">
        <w:rPr>
          <w:rFonts w:ascii="Cambria" w:eastAsia="Times New Roman" w:hAnsi="Cambria"/>
          <w:bCs/>
          <w:i/>
          <w:iCs/>
          <w:color w:val="000000"/>
          <w:sz w:val="24"/>
          <w:szCs w:val="24"/>
        </w:rPr>
        <w:t>A</w:t>
      </w:r>
      <w:r w:rsidR="00E80C83" w:rsidRPr="00AD7A93">
        <w:rPr>
          <w:rFonts w:ascii="Cambria" w:eastAsia="Times New Roman" w:hAnsi="Cambria"/>
          <w:bCs/>
          <w:i/>
          <w:iCs/>
          <w:color w:val="000000"/>
          <w:sz w:val="24"/>
          <w:szCs w:val="24"/>
        </w:rPr>
        <w:t>gencies</w:t>
      </w:r>
      <w:r w:rsidR="00E16A4E" w:rsidRPr="00AD7A93">
        <w:rPr>
          <w:rFonts w:ascii="Cambria" w:eastAsia="Times New Roman" w:hAnsi="Cambria"/>
          <w:bCs/>
          <w:i/>
          <w:iCs/>
          <w:color w:val="000000"/>
          <w:sz w:val="24"/>
          <w:szCs w:val="24"/>
        </w:rPr>
        <w:t xml:space="preserve"> </w:t>
      </w:r>
      <w:r>
        <w:rPr>
          <w:rFonts w:ascii="Cambria" w:eastAsia="Times New Roman" w:hAnsi="Cambria"/>
          <w:bCs/>
          <w:i/>
          <w:iCs/>
          <w:color w:val="000000"/>
          <w:sz w:val="24"/>
          <w:szCs w:val="24"/>
        </w:rPr>
        <w:t>Required to</w:t>
      </w:r>
      <w:r w:rsidRPr="00AD7A93">
        <w:rPr>
          <w:rFonts w:ascii="Cambria" w:eastAsia="Times New Roman" w:hAnsi="Cambria"/>
          <w:bCs/>
          <w:i/>
          <w:iCs/>
          <w:color w:val="000000"/>
          <w:sz w:val="24"/>
          <w:szCs w:val="24"/>
        </w:rPr>
        <w:t xml:space="preserve"> </w:t>
      </w:r>
      <w:r w:rsidR="007865F2" w:rsidRPr="00AD7A93">
        <w:rPr>
          <w:rFonts w:ascii="Cambria" w:eastAsia="Times New Roman" w:hAnsi="Cambria"/>
          <w:bCs/>
          <w:i/>
          <w:iCs/>
          <w:color w:val="000000"/>
          <w:sz w:val="24"/>
          <w:szCs w:val="24"/>
        </w:rPr>
        <w:t>S</w:t>
      </w:r>
      <w:r w:rsidR="00E16A4E" w:rsidRPr="00AD7A93">
        <w:rPr>
          <w:rFonts w:ascii="Cambria" w:eastAsia="Times New Roman" w:hAnsi="Cambria"/>
          <w:bCs/>
          <w:i/>
          <w:iCs/>
          <w:color w:val="000000"/>
          <w:sz w:val="24"/>
          <w:szCs w:val="24"/>
        </w:rPr>
        <w:t xml:space="preserve">ubmit Section 803 </w:t>
      </w:r>
      <w:r w:rsidR="00E16A4E" w:rsidRPr="004566D5">
        <w:rPr>
          <w:rFonts w:ascii="Cambria" w:eastAsia="Times New Roman" w:hAnsi="Cambria"/>
          <w:bCs/>
          <w:i/>
          <w:iCs/>
          <w:color w:val="000000"/>
          <w:sz w:val="24"/>
          <w:szCs w:val="24"/>
        </w:rPr>
        <w:t>Reports to PCLOB</w:t>
      </w:r>
      <w:bookmarkStart w:id="68" w:name="_Hlk210225028"/>
      <w:r w:rsidR="007865F2" w:rsidRPr="004566D5">
        <w:rPr>
          <w:rFonts w:ascii="Cambria" w:eastAsia="Times New Roman" w:hAnsi="Cambria"/>
          <w:bCs/>
          <w:i/>
          <w:iCs/>
          <w:color w:val="000000"/>
          <w:sz w:val="24"/>
          <w:szCs w:val="24"/>
        </w:rPr>
        <w:t>)</w:t>
      </w:r>
      <w:r w:rsidR="00E80C83" w:rsidRPr="004566D5">
        <w:rPr>
          <w:rFonts w:ascii="Cambria" w:eastAsia="Times New Roman" w:hAnsi="Cambria"/>
          <w:bCs/>
          <w:i/>
          <w:iCs/>
          <w:color w:val="000000"/>
          <w:sz w:val="24"/>
          <w:szCs w:val="24"/>
        </w:rPr>
        <w:t xml:space="preserve">. </w:t>
      </w:r>
      <w:r w:rsidR="00CB5836" w:rsidRPr="004566D5">
        <w:rPr>
          <w:rFonts w:ascii="Cambria" w:eastAsia="Times New Roman" w:hAnsi="Cambria"/>
          <w:bCs/>
          <w:color w:val="000000"/>
          <w:sz w:val="24"/>
          <w:szCs w:val="24"/>
        </w:rPr>
        <w:t>In</w:t>
      </w:r>
      <w:r w:rsidR="00E80C83" w:rsidRPr="004566D5">
        <w:rPr>
          <w:rFonts w:ascii="Cambria" w:eastAsia="Times New Roman" w:hAnsi="Cambria"/>
          <w:bCs/>
          <w:color w:val="000000"/>
          <w:sz w:val="24"/>
          <w:szCs w:val="24"/>
        </w:rPr>
        <w:t xml:space="preserve"> FY </w:t>
      </w:r>
      <w:r w:rsidR="0049075B" w:rsidRPr="004566D5">
        <w:rPr>
          <w:rFonts w:ascii="Cambria" w:eastAsia="Times New Roman" w:hAnsi="Cambria"/>
          <w:bCs/>
          <w:color w:val="000000"/>
          <w:sz w:val="24"/>
          <w:szCs w:val="24"/>
        </w:rPr>
        <w:t>2025</w:t>
      </w:r>
      <w:r w:rsidR="00E80C83" w:rsidRPr="004566D5">
        <w:rPr>
          <w:rFonts w:ascii="Cambria" w:eastAsia="Times New Roman" w:hAnsi="Cambria"/>
          <w:bCs/>
          <w:color w:val="000000"/>
          <w:sz w:val="24"/>
          <w:szCs w:val="24"/>
        </w:rPr>
        <w:t xml:space="preserve">, PCLOB received </w:t>
      </w:r>
      <w:r w:rsidR="00CB5836" w:rsidRPr="004566D5">
        <w:rPr>
          <w:rFonts w:ascii="Cambria" w:eastAsia="Times New Roman" w:hAnsi="Cambria"/>
          <w:bCs/>
          <w:color w:val="000000"/>
          <w:sz w:val="24"/>
          <w:szCs w:val="24"/>
        </w:rPr>
        <w:t xml:space="preserve">a total of </w:t>
      </w:r>
      <w:r w:rsidR="00AC3DA0" w:rsidRPr="004566D5">
        <w:rPr>
          <w:rFonts w:ascii="Cambria" w:eastAsia="Times New Roman" w:hAnsi="Cambria"/>
          <w:bCs/>
          <w:color w:val="000000"/>
          <w:sz w:val="24"/>
          <w:szCs w:val="24"/>
        </w:rPr>
        <w:t xml:space="preserve">five </w:t>
      </w:r>
      <w:r w:rsidR="00E80C83" w:rsidRPr="004566D5">
        <w:rPr>
          <w:rFonts w:ascii="Cambria" w:eastAsia="Times New Roman" w:hAnsi="Cambria"/>
          <w:bCs/>
          <w:color w:val="000000"/>
          <w:sz w:val="24"/>
          <w:szCs w:val="24"/>
        </w:rPr>
        <w:t>Section 803 report</w:t>
      </w:r>
      <w:r w:rsidRPr="004566D5">
        <w:rPr>
          <w:rFonts w:ascii="Cambria" w:eastAsia="Times New Roman" w:hAnsi="Cambria"/>
          <w:bCs/>
          <w:color w:val="000000"/>
          <w:sz w:val="24"/>
          <w:szCs w:val="24"/>
        </w:rPr>
        <w:t>s</w:t>
      </w:r>
      <w:r w:rsidR="00CB5836" w:rsidRPr="004566D5">
        <w:rPr>
          <w:rFonts w:ascii="Cambria" w:eastAsia="Times New Roman" w:hAnsi="Cambria"/>
          <w:bCs/>
          <w:color w:val="000000"/>
          <w:sz w:val="24"/>
          <w:szCs w:val="24"/>
        </w:rPr>
        <w:t xml:space="preserve"> </w:t>
      </w:r>
      <w:r w:rsidR="00AC3DA0" w:rsidRPr="004566D5">
        <w:rPr>
          <w:rFonts w:ascii="Cambria" w:eastAsia="Times New Roman" w:hAnsi="Cambria"/>
          <w:bCs/>
          <w:color w:val="000000"/>
          <w:sz w:val="24"/>
          <w:szCs w:val="24"/>
        </w:rPr>
        <w:t>(</w:t>
      </w:r>
      <w:r w:rsidR="00CB5836" w:rsidRPr="004566D5">
        <w:rPr>
          <w:rFonts w:ascii="Cambria" w:eastAsia="Times New Roman" w:hAnsi="Cambria"/>
          <w:bCs/>
          <w:color w:val="000000"/>
          <w:sz w:val="24"/>
          <w:szCs w:val="24"/>
        </w:rPr>
        <w:t>from</w:t>
      </w:r>
      <w:r w:rsidR="00E80C83" w:rsidRPr="004566D5">
        <w:rPr>
          <w:rFonts w:ascii="Cambria" w:eastAsia="Times New Roman" w:hAnsi="Cambria"/>
          <w:bCs/>
          <w:color w:val="000000"/>
          <w:sz w:val="24"/>
          <w:szCs w:val="24"/>
        </w:rPr>
        <w:t xml:space="preserve"> Treasury,</w:t>
      </w:r>
      <w:r w:rsidRPr="004566D5">
        <w:rPr>
          <w:rFonts w:ascii="Cambria" w:eastAsia="Times New Roman" w:hAnsi="Cambria"/>
          <w:bCs/>
          <w:color w:val="000000"/>
          <w:sz w:val="24"/>
          <w:szCs w:val="24"/>
        </w:rPr>
        <w:t xml:space="preserve"> the Central Intelligence Agency, </w:t>
      </w:r>
      <w:r w:rsidR="00CB5836" w:rsidRPr="004566D5">
        <w:rPr>
          <w:rFonts w:ascii="Cambria" w:eastAsia="Times New Roman" w:hAnsi="Cambria"/>
          <w:bCs/>
          <w:color w:val="000000"/>
          <w:sz w:val="24"/>
          <w:szCs w:val="24"/>
        </w:rPr>
        <w:t>the Department of Homeland Security</w:t>
      </w:r>
      <w:r w:rsidR="00CF4381">
        <w:rPr>
          <w:rFonts w:ascii="Cambria" w:eastAsia="Times New Roman" w:hAnsi="Cambria"/>
          <w:bCs/>
          <w:color w:val="000000"/>
          <w:sz w:val="24"/>
          <w:szCs w:val="24"/>
        </w:rPr>
        <w:t xml:space="preserve"> </w:t>
      </w:r>
      <w:r w:rsidR="00CF4381">
        <w:rPr>
          <w:rFonts w:ascii="Cambria" w:eastAsia="Times New Roman" w:hAnsi="Cambria"/>
          <w:bCs/>
          <w:color w:val="000000"/>
          <w:sz w:val="24"/>
          <w:szCs w:val="24"/>
        </w:rPr>
        <w:lastRenderedPageBreak/>
        <w:t>(DHS)</w:t>
      </w:r>
      <w:r w:rsidR="00CB5836" w:rsidRPr="004566D5">
        <w:rPr>
          <w:rFonts w:ascii="Cambria" w:eastAsia="Times New Roman" w:hAnsi="Cambria"/>
          <w:bCs/>
          <w:color w:val="000000"/>
          <w:sz w:val="24"/>
          <w:szCs w:val="24"/>
        </w:rPr>
        <w:t>,</w:t>
      </w:r>
      <w:r w:rsidR="006A67BF">
        <w:rPr>
          <w:rFonts w:ascii="Cambria" w:eastAsia="Times New Roman" w:hAnsi="Cambria"/>
          <w:bCs/>
          <w:color w:val="000000"/>
          <w:sz w:val="24"/>
          <w:szCs w:val="24"/>
        </w:rPr>
        <w:t xml:space="preserve"> the </w:t>
      </w:r>
      <w:r w:rsidR="00E50060">
        <w:rPr>
          <w:rFonts w:ascii="Cambria" w:eastAsia="Times New Roman" w:hAnsi="Cambria"/>
          <w:bCs/>
          <w:color w:val="000000"/>
          <w:sz w:val="24"/>
          <w:szCs w:val="24"/>
        </w:rPr>
        <w:t>FBI</w:t>
      </w:r>
      <w:r w:rsidR="006A67BF">
        <w:rPr>
          <w:rFonts w:ascii="Cambria" w:eastAsia="Times New Roman" w:hAnsi="Cambria"/>
          <w:bCs/>
          <w:color w:val="000000"/>
          <w:sz w:val="24"/>
          <w:szCs w:val="24"/>
        </w:rPr>
        <w:t>, and</w:t>
      </w:r>
      <w:r w:rsidR="00CB5836" w:rsidRPr="004566D5">
        <w:rPr>
          <w:rFonts w:ascii="Cambria" w:eastAsia="Times New Roman" w:hAnsi="Cambria"/>
          <w:bCs/>
          <w:color w:val="000000"/>
          <w:sz w:val="24"/>
          <w:szCs w:val="24"/>
        </w:rPr>
        <w:t xml:space="preserve"> </w:t>
      </w:r>
      <w:r w:rsidRPr="004566D5">
        <w:rPr>
          <w:rFonts w:ascii="Cambria" w:eastAsia="Times New Roman" w:hAnsi="Cambria"/>
          <w:bCs/>
          <w:color w:val="000000"/>
          <w:sz w:val="24"/>
          <w:szCs w:val="24"/>
        </w:rPr>
        <w:t>the National Security Agency</w:t>
      </w:r>
      <w:r w:rsidR="00AC3DA0" w:rsidRPr="004566D5">
        <w:rPr>
          <w:rFonts w:ascii="Cambria" w:eastAsia="Times New Roman" w:hAnsi="Cambria"/>
          <w:bCs/>
          <w:color w:val="000000"/>
          <w:sz w:val="24"/>
          <w:szCs w:val="24"/>
        </w:rPr>
        <w:t>)</w:t>
      </w:r>
      <w:r w:rsidR="00CB5836" w:rsidRPr="004566D5">
        <w:rPr>
          <w:rFonts w:ascii="Cambria" w:eastAsia="Times New Roman" w:hAnsi="Cambria"/>
          <w:bCs/>
          <w:color w:val="000000"/>
          <w:sz w:val="24"/>
          <w:szCs w:val="24"/>
        </w:rPr>
        <w:t>;</w:t>
      </w:r>
      <w:r w:rsidR="00CB5836" w:rsidRPr="00C52F00">
        <w:rPr>
          <w:rFonts w:ascii="Cambria" w:eastAsia="Times New Roman" w:hAnsi="Cambria"/>
          <w:bCs/>
          <w:color w:val="000000"/>
          <w:sz w:val="24"/>
          <w:szCs w:val="24"/>
        </w:rPr>
        <w:t xml:space="preserve"> </w:t>
      </w:r>
      <w:bookmarkEnd w:id="68"/>
      <w:r w:rsidR="00CB5836" w:rsidRPr="00C52F00">
        <w:rPr>
          <w:rFonts w:ascii="Cambria" w:eastAsia="Times New Roman" w:hAnsi="Cambria"/>
          <w:bCs/>
          <w:color w:val="000000"/>
          <w:sz w:val="24"/>
          <w:szCs w:val="24"/>
        </w:rPr>
        <w:t xml:space="preserve">these reports </w:t>
      </w:r>
      <w:r w:rsidRPr="00C52F00">
        <w:rPr>
          <w:rFonts w:ascii="Cambria" w:eastAsia="Times New Roman" w:hAnsi="Cambria"/>
          <w:bCs/>
          <w:color w:val="000000"/>
          <w:sz w:val="24"/>
          <w:szCs w:val="24"/>
        </w:rPr>
        <w:t>are</w:t>
      </w:r>
      <w:r w:rsidR="00CB5836" w:rsidRPr="00C52F00">
        <w:rPr>
          <w:rFonts w:ascii="Cambria" w:eastAsia="Times New Roman" w:hAnsi="Cambria"/>
          <w:bCs/>
          <w:color w:val="000000"/>
          <w:sz w:val="24"/>
          <w:szCs w:val="24"/>
        </w:rPr>
        <w:t xml:space="preserve"> </w:t>
      </w:r>
      <w:r w:rsidR="00CC20B4">
        <w:rPr>
          <w:rFonts w:ascii="Cambria" w:eastAsia="Times New Roman" w:hAnsi="Cambria"/>
          <w:bCs/>
          <w:color w:val="000000"/>
          <w:sz w:val="24"/>
          <w:szCs w:val="24"/>
        </w:rPr>
        <w:t>accessible from</w:t>
      </w:r>
      <w:r w:rsidR="00E80C83" w:rsidRPr="00C52F00">
        <w:rPr>
          <w:rFonts w:ascii="Cambria" w:eastAsia="Times New Roman" w:hAnsi="Cambria"/>
          <w:bCs/>
          <w:color w:val="000000"/>
          <w:sz w:val="24"/>
          <w:szCs w:val="24"/>
        </w:rPr>
        <w:t xml:space="preserve"> the PCLOB website.</w:t>
      </w:r>
      <w:r w:rsidR="00E80C83">
        <w:rPr>
          <w:rFonts w:ascii="Cambria" w:eastAsia="Times New Roman" w:hAnsi="Cambria"/>
          <w:bCs/>
          <w:color w:val="000000"/>
          <w:sz w:val="24"/>
          <w:szCs w:val="24"/>
        </w:rPr>
        <w:t xml:space="preserve">  </w:t>
      </w:r>
      <w:r w:rsidR="00E80C83" w:rsidRPr="000C50CC">
        <w:rPr>
          <w:rFonts w:ascii="Cambria" w:eastAsia="Times New Roman" w:hAnsi="Cambria"/>
          <w:bCs/>
          <w:color w:val="000000"/>
          <w:sz w:val="24"/>
          <w:szCs w:val="24"/>
        </w:rPr>
        <w:t xml:space="preserve"> </w:t>
      </w:r>
    </w:p>
    <w:p w14:paraId="0A2D468F" w14:textId="0288F5F5" w:rsidR="00F91672" w:rsidRDefault="00852464" w:rsidP="00753293">
      <w:pPr>
        <w:spacing w:before="240" w:line="276" w:lineRule="auto"/>
        <w:ind w:left="720"/>
        <w:jc w:val="both"/>
        <w:rPr>
          <w:rFonts w:ascii="Cambria" w:eastAsia="Times New Roman" w:hAnsi="Cambria"/>
          <w:bCs/>
          <w:color w:val="000000"/>
          <w:sz w:val="24"/>
          <w:szCs w:val="24"/>
        </w:rPr>
      </w:pPr>
      <w:r w:rsidRPr="003E3525">
        <w:rPr>
          <w:rFonts w:ascii="Cambria" w:hAnsi="Cambria"/>
          <w:b/>
          <w:bCs/>
          <w:noProof/>
          <w:color w:val="FFFFFF" w:themeColor="background1"/>
          <w:sz w:val="24"/>
          <w:szCs w:val="24"/>
        </w:rPr>
        <mc:AlternateContent>
          <mc:Choice Requires="wps">
            <w:drawing>
              <wp:anchor distT="0" distB="0" distL="114300" distR="114300" simplePos="0" relativeHeight="251774464" behindDoc="1" locked="0" layoutInCell="1" allowOverlap="1" wp14:anchorId="16EC37D8" wp14:editId="0F2466D0">
                <wp:simplePos x="0" y="0"/>
                <wp:positionH relativeFrom="page">
                  <wp:posOffset>695325</wp:posOffset>
                </wp:positionH>
                <wp:positionV relativeFrom="page">
                  <wp:posOffset>3676650</wp:posOffset>
                </wp:positionV>
                <wp:extent cx="6459855" cy="5334000"/>
                <wp:effectExtent l="38100" t="38100" r="112395" b="114300"/>
                <wp:wrapNone/>
                <wp:docPr id="598399618" name="Rectangle 39"/>
                <wp:cNvGraphicFramePr/>
                <a:graphic xmlns:a="http://schemas.openxmlformats.org/drawingml/2006/main">
                  <a:graphicData uri="http://schemas.microsoft.com/office/word/2010/wordprocessingShape">
                    <wps:wsp>
                      <wps:cNvSpPr/>
                      <wps:spPr>
                        <a:xfrm>
                          <a:off x="0" y="0"/>
                          <a:ext cx="6459855" cy="5334000"/>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21842" id="Rectangle 39" o:spid="_x0000_s1026" style="position:absolute;margin-left:54.75pt;margin-top:289.5pt;width:508.65pt;height:420pt;z-index:-2515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" filled="f" strokecolor="#002060" strokeweight="1.5pt">
                <v:shadow on="t" color="black" opacity="26214f" origin="-.5,-.5" offset=".74836mm,.74836mm"/>
                <w10:wrap anchorx="page" anchory="page"/>
              </v:rect>
            </w:pict>
          </mc:Fallback>
        </mc:AlternateContent>
      </w:r>
      <w:r w:rsidR="00251D04">
        <w:rPr>
          <w:rFonts w:ascii="Cambria" w:eastAsia="Times New Roman" w:hAnsi="Cambria"/>
          <w:bCs/>
          <w:color w:val="000000"/>
          <w:sz w:val="24"/>
          <w:szCs w:val="24"/>
        </w:rPr>
        <w:t xml:space="preserve">PCLOB is charged with assessing Section 803 reports and other information </w:t>
      </w:r>
      <w:r w:rsidR="00E16A4E">
        <w:rPr>
          <w:rFonts w:ascii="Cambria" w:eastAsia="Times New Roman" w:hAnsi="Cambria"/>
          <w:bCs/>
          <w:color w:val="000000"/>
          <w:sz w:val="24"/>
          <w:szCs w:val="24"/>
        </w:rPr>
        <w:t xml:space="preserve">received </w:t>
      </w:r>
      <w:r w:rsidR="00251D04">
        <w:rPr>
          <w:rFonts w:ascii="Cambria" w:eastAsia="Times New Roman" w:hAnsi="Cambria"/>
          <w:bCs/>
          <w:color w:val="000000"/>
          <w:sz w:val="24"/>
          <w:szCs w:val="24"/>
        </w:rPr>
        <w:t xml:space="preserve">from agency </w:t>
      </w:r>
      <w:r w:rsidR="002269DF" w:rsidRPr="002269DF">
        <w:rPr>
          <w:rFonts w:ascii="Cambria" w:eastAsia="Times New Roman" w:hAnsi="Cambria"/>
          <w:bCs/>
          <w:color w:val="000000"/>
          <w:sz w:val="24"/>
          <w:szCs w:val="24"/>
        </w:rPr>
        <w:t>CLPOs</w:t>
      </w:r>
      <w:r w:rsidR="00E80C83">
        <w:rPr>
          <w:rFonts w:ascii="Cambria" w:eastAsia="Times New Roman" w:hAnsi="Cambria"/>
          <w:bCs/>
          <w:color w:val="000000"/>
          <w:sz w:val="24"/>
          <w:szCs w:val="24"/>
        </w:rPr>
        <w:t xml:space="preserve">, </w:t>
      </w:r>
      <w:r w:rsidR="008852A7">
        <w:rPr>
          <w:rFonts w:ascii="Cambria" w:eastAsia="Times New Roman" w:hAnsi="Cambria"/>
          <w:bCs/>
          <w:color w:val="000000"/>
          <w:sz w:val="24"/>
          <w:szCs w:val="24"/>
        </w:rPr>
        <w:t>and where appropriate</w:t>
      </w:r>
      <w:r>
        <w:rPr>
          <w:rFonts w:ascii="Cambria" w:eastAsia="Times New Roman" w:hAnsi="Cambria"/>
          <w:bCs/>
          <w:color w:val="000000"/>
          <w:sz w:val="24"/>
          <w:szCs w:val="24"/>
        </w:rPr>
        <w:t>,</w:t>
      </w:r>
      <w:r w:rsidR="008852A7">
        <w:rPr>
          <w:rFonts w:ascii="Cambria" w:eastAsia="Times New Roman" w:hAnsi="Cambria"/>
          <w:bCs/>
          <w:color w:val="000000"/>
          <w:sz w:val="24"/>
          <w:szCs w:val="24"/>
        </w:rPr>
        <w:t xml:space="preserve"> mak</w:t>
      </w:r>
      <w:r w:rsidR="000B3158">
        <w:rPr>
          <w:rFonts w:ascii="Cambria" w:eastAsia="Times New Roman" w:hAnsi="Cambria"/>
          <w:bCs/>
          <w:color w:val="000000"/>
          <w:sz w:val="24"/>
          <w:szCs w:val="24"/>
        </w:rPr>
        <w:t>ing</w:t>
      </w:r>
      <w:r w:rsidR="008852A7">
        <w:rPr>
          <w:rFonts w:ascii="Cambria" w:eastAsia="Times New Roman" w:hAnsi="Cambria"/>
          <w:bCs/>
          <w:color w:val="000000"/>
          <w:sz w:val="24"/>
          <w:szCs w:val="24"/>
        </w:rPr>
        <w:t xml:space="preserve"> recommendations and coordinat</w:t>
      </w:r>
      <w:r w:rsidR="000B3158">
        <w:rPr>
          <w:rFonts w:ascii="Cambria" w:eastAsia="Times New Roman" w:hAnsi="Cambria"/>
          <w:bCs/>
          <w:color w:val="000000"/>
          <w:sz w:val="24"/>
          <w:szCs w:val="24"/>
        </w:rPr>
        <w:t>ing</w:t>
      </w:r>
      <w:r w:rsidR="008852A7">
        <w:rPr>
          <w:rFonts w:ascii="Cambria" w:eastAsia="Times New Roman" w:hAnsi="Cambria"/>
          <w:bCs/>
          <w:color w:val="000000"/>
          <w:sz w:val="24"/>
          <w:szCs w:val="24"/>
        </w:rPr>
        <w:t xml:space="preserve"> the activities of Section 803 CLPOs</w:t>
      </w:r>
      <w:r w:rsidR="001602AD">
        <w:rPr>
          <w:rFonts w:ascii="Cambria" w:eastAsia="Times New Roman" w:hAnsi="Cambria"/>
          <w:bCs/>
          <w:color w:val="000000"/>
          <w:sz w:val="24"/>
          <w:szCs w:val="24"/>
        </w:rPr>
        <w:t>.</w:t>
      </w:r>
      <w:r w:rsidR="00251D04">
        <w:rPr>
          <w:rFonts w:ascii="Cambria" w:eastAsia="Times New Roman" w:hAnsi="Cambria"/>
          <w:bCs/>
          <w:color w:val="000000"/>
          <w:sz w:val="24"/>
          <w:szCs w:val="24"/>
        </w:rPr>
        <w:t xml:space="preserve"> </w:t>
      </w:r>
      <w:r w:rsidR="00CB5836">
        <w:rPr>
          <w:rFonts w:ascii="Cambria" w:eastAsia="Times New Roman" w:hAnsi="Cambria"/>
          <w:bCs/>
          <w:color w:val="000000"/>
          <w:sz w:val="24"/>
          <w:szCs w:val="24"/>
        </w:rPr>
        <w:t>PCLOB</w:t>
      </w:r>
      <w:r w:rsidR="00251D04">
        <w:rPr>
          <w:rFonts w:ascii="Cambria" w:eastAsia="Times New Roman" w:hAnsi="Cambria"/>
          <w:bCs/>
          <w:color w:val="000000"/>
          <w:sz w:val="24"/>
          <w:szCs w:val="24"/>
        </w:rPr>
        <w:t xml:space="preserve"> </w:t>
      </w:r>
      <w:r w:rsidR="008852A7">
        <w:rPr>
          <w:rFonts w:ascii="Cambria" w:eastAsia="Times New Roman" w:hAnsi="Cambria"/>
          <w:bCs/>
          <w:color w:val="000000"/>
          <w:sz w:val="24"/>
          <w:szCs w:val="24"/>
        </w:rPr>
        <w:t>continues to discuss with the Section 803 CLPOs ways in which the</w:t>
      </w:r>
      <w:r w:rsidR="00E80C83">
        <w:rPr>
          <w:rFonts w:ascii="Cambria" w:eastAsia="Times New Roman" w:hAnsi="Cambria"/>
          <w:bCs/>
          <w:color w:val="000000"/>
          <w:sz w:val="24"/>
          <w:szCs w:val="24"/>
        </w:rPr>
        <w:t xml:space="preserve"> Section 803 </w:t>
      </w:r>
      <w:r w:rsidR="008852A7">
        <w:rPr>
          <w:rFonts w:ascii="Cambria" w:eastAsia="Times New Roman" w:hAnsi="Cambria"/>
          <w:bCs/>
          <w:color w:val="000000"/>
          <w:sz w:val="24"/>
          <w:szCs w:val="24"/>
        </w:rPr>
        <w:t>reporting process can be improved.</w:t>
      </w:r>
      <w:r w:rsidR="00C13522" w:rsidRPr="00C13522">
        <w:t xml:space="preserve"> </w:t>
      </w:r>
      <w:r w:rsidR="00CC20B4">
        <w:rPr>
          <w:rFonts w:ascii="Cambria" w:eastAsia="Times New Roman" w:hAnsi="Cambria"/>
          <w:bCs/>
          <w:color w:val="000000"/>
          <w:sz w:val="24"/>
          <w:szCs w:val="24"/>
        </w:rPr>
        <w:t>Recent e</w:t>
      </w:r>
      <w:r w:rsidR="00C13522" w:rsidRPr="00C13522">
        <w:rPr>
          <w:rFonts w:ascii="Cambria" w:eastAsia="Times New Roman" w:hAnsi="Cambria"/>
          <w:bCs/>
          <w:color w:val="000000"/>
          <w:sz w:val="24"/>
          <w:szCs w:val="24"/>
        </w:rPr>
        <w:t xml:space="preserve">fforts already undertaken include reminding agency </w:t>
      </w:r>
      <w:r w:rsidR="002269DF" w:rsidRPr="002269DF">
        <w:rPr>
          <w:rFonts w:ascii="Cambria" w:eastAsia="Times New Roman" w:hAnsi="Cambria"/>
          <w:bCs/>
          <w:color w:val="000000"/>
          <w:sz w:val="24"/>
          <w:szCs w:val="24"/>
        </w:rPr>
        <w:t>CLPOs</w:t>
      </w:r>
      <w:r w:rsidR="002269DF" w:rsidRPr="002269DF" w:rsidDel="002269DF">
        <w:rPr>
          <w:rFonts w:ascii="Cambria" w:eastAsia="Times New Roman" w:hAnsi="Cambria"/>
          <w:bCs/>
          <w:color w:val="000000"/>
          <w:sz w:val="24"/>
          <w:szCs w:val="24"/>
        </w:rPr>
        <w:t xml:space="preserve"> </w:t>
      </w:r>
      <w:r w:rsidR="00C13522" w:rsidRPr="00C13522">
        <w:rPr>
          <w:rFonts w:ascii="Cambria" w:eastAsia="Times New Roman" w:hAnsi="Cambria"/>
          <w:bCs/>
          <w:color w:val="000000"/>
          <w:sz w:val="24"/>
          <w:szCs w:val="24"/>
        </w:rPr>
        <w:t xml:space="preserve">of their statutory obligation and requesting agency </w:t>
      </w:r>
      <w:r w:rsidR="002269DF" w:rsidRPr="002269DF">
        <w:rPr>
          <w:rFonts w:ascii="Cambria" w:eastAsia="Times New Roman" w:hAnsi="Cambria"/>
          <w:bCs/>
          <w:color w:val="000000"/>
          <w:sz w:val="24"/>
          <w:szCs w:val="24"/>
        </w:rPr>
        <w:t>CLPOs</w:t>
      </w:r>
      <w:r w:rsidR="002269DF" w:rsidRPr="002269DF" w:rsidDel="002269DF">
        <w:rPr>
          <w:rFonts w:ascii="Cambria" w:eastAsia="Times New Roman" w:hAnsi="Cambria"/>
          <w:bCs/>
          <w:color w:val="000000"/>
          <w:sz w:val="24"/>
          <w:szCs w:val="24"/>
        </w:rPr>
        <w:t xml:space="preserve"> </w:t>
      </w:r>
      <w:r w:rsidR="00C13522" w:rsidRPr="00C13522">
        <w:rPr>
          <w:rFonts w:ascii="Cambria" w:eastAsia="Times New Roman" w:hAnsi="Cambria"/>
          <w:bCs/>
          <w:color w:val="000000"/>
          <w:sz w:val="24"/>
          <w:szCs w:val="24"/>
        </w:rPr>
        <w:t xml:space="preserve">to meet with PCLOB </w:t>
      </w:r>
      <w:r w:rsidR="004566D5">
        <w:rPr>
          <w:rFonts w:ascii="Cambria" w:eastAsia="Times New Roman" w:hAnsi="Cambria"/>
          <w:bCs/>
          <w:color w:val="000000"/>
          <w:sz w:val="24"/>
          <w:szCs w:val="24"/>
        </w:rPr>
        <w:t>regularly</w:t>
      </w:r>
      <w:r w:rsidR="004566D5" w:rsidRPr="00C13522">
        <w:rPr>
          <w:rFonts w:ascii="Cambria" w:eastAsia="Times New Roman" w:hAnsi="Cambria"/>
          <w:bCs/>
          <w:color w:val="000000"/>
          <w:sz w:val="24"/>
          <w:szCs w:val="24"/>
        </w:rPr>
        <w:t xml:space="preserve"> </w:t>
      </w:r>
      <w:r w:rsidR="00C13522" w:rsidRPr="00C13522">
        <w:rPr>
          <w:rFonts w:ascii="Cambria" w:eastAsia="Times New Roman" w:hAnsi="Cambria"/>
          <w:bCs/>
          <w:color w:val="000000"/>
          <w:sz w:val="24"/>
          <w:szCs w:val="24"/>
        </w:rPr>
        <w:t xml:space="preserve">to address the Section 803 reporting process. PCLOB </w:t>
      </w:r>
      <w:r w:rsidR="001602AD">
        <w:rPr>
          <w:rFonts w:ascii="Cambria" w:eastAsia="Times New Roman" w:hAnsi="Cambria"/>
          <w:bCs/>
          <w:color w:val="000000"/>
          <w:sz w:val="24"/>
          <w:szCs w:val="24"/>
        </w:rPr>
        <w:t>intends</w:t>
      </w:r>
      <w:r w:rsidR="00C13522" w:rsidRPr="00C13522">
        <w:rPr>
          <w:rFonts w:ascii="Cambria" w:eastAsia="Times New Roman" w:hAnsi="Cambria"/>
          <w:bCs/>
          <w:color w:val="000000"/>
          <w:sz w:val="24"/>
          <w:szCs w:val="24"/>
        </w:rPr>
        <w:t xml:space="preserve">, through improved coordination, </w:t>
      </w:r>
      <w:r w:rsidR="001602AD">
        <w:rPr>
          <w:rFonts w:ascii="Cambria" w:eastAsia="Times New Roman" w:hAnsi="Cambria"/>
          <w:bCs/>
          <w:color w:val="000000"/>
          <w:sz w:val="24"/>
          <w:szCs w:val="24"/>
        </w:rPr>
        <w:t>to</w:t>
      </w:r>
      <w:r w:rsidR="00C13522" w:rsidRPr="00C13522">
        <w:rPr>
          <w:rFonts w:ascii="Cambria" w:eastAsia="Times New Roman" w:hAnsi="Cambria"/>
          <w:bCs/>
          <w:color w:val="000000"/>
          <w:sz w:val="24"/>
          <w:szCs w:val="24"/>
        </w:rPr>
        <w:t xml:space="preserve"> remedy any confusion regarding the Section 803 reporting process and encourage agency </w:t>
      </w:r>
      <w:r w:rsidR="002269DF" w:rsidRPr="002269DF">
        <w:rPr>
          <w:rFonts w:ascii="Cambria" w:eastAsia="Times New Roman" w:hAnsi="Cambria"/>
          <w:bCs/>
          <w:color w:val="000000"/>
          <w:sz w:val="24"/>
          <w:szCs w:val="24"/>
        </w:rPr>
        <w:t>CLPOs</w:t>
      </w:r>
      <w:r w:rsidR="002269DF" w:rsidRPr="002269DF" w:rsidDel="002269DF">
        <w:rPr>
          <w:rFonts w:ascii="Cambria" w:eastAsia="Times New Roman" w:hAnsi="Cambria"/>
          <w:bCs/>
          <w:color w:val="000000"/>
          <w:sz w:val="24"/>
          <w:szCs w:val="24"/>
        </w:rPr>
        <w:t xml:space="preserve"> </w:t>
      </w:r>
      <w:r w:rsidR="00C13522" w:rsidRPr="00C13522">
        <w:rPr>
          <w:rFonts w:ascii="Cambria" w:eastAsia="Times New Roman" w:hAnsi="Cambria"/>
          <w:bCs/>
          <w:color w:val="000000"/>
          <w:sz w:val="24"/>
          <w:szCs w:val="24"/>
        </w:rPr>
        <w:t xml:space="preserve">to re-prioritize these reports.  </w:t>
      </w:r>
    </w:p>
    <w:bookmarkEnd w:id="67"/>
    <w:p w14:paraId="206D6023" w14:textId="64089CF1" w:rsidR="00771AFE" w:rsidRPr="00E53A55" w:rsidRDefault="00771AFE" w:rsidP="00753293">
      <w:pPr>
        <w:spacing w:before="240" w:line="276" w:lineRule="auto"/>
        <w:ind w:right="-270"/>
        <w:jc w:val="both"/>
        <w:rPr>
          <w:rFonts w:ascii="Cambria" w:hAnsi="Cambria"/>
          <w:b/>
          <w:bCs/>
          <w:sz w:val="24"/>
          <w:szCs w:val="24"/>
        </w:rPr>
      </w:pPr>
      <w:r w:rsidRPr="00E53A55">
        <w:rPr>
          <w:rFonts w:ascii="Cambria" w:hAnsi="Cambria"/>
          <w:b/>
          <w:bCs/>
          <w:sz w:val="24"/>
          <w:szCs w:val="24"/>
        </w:rPr>
        <w:t xml:space="preserve">FY </w:t>
      </w:r>
      <w:r w:rsidR="0049075B">
        <w:rPr>
          <w:rFonts w:ascii="Cambria" w:hAnsi="Cambria"/>
          <w:b/>
          <w:bCs/>
          <w:sz w:val="24"/>
          <w:szCs w:val="24"/>
        </w:rPr>
        <w:t>2025</w:t>
      </w:r>
      <w:r w:rsidRPr="00E53A55">
        <w:rPr>
          <w:rFonts w:ascii="Cambria" w:hAnsi="Cambria"/>
          <w:b/>
          <w:bCs/>
          <w:sz w:val="24"/>
          <w:szCs w:val="24"/>
        </w:rPr>
        <w:t xml:space="preserve"> Performance Results</w:t>
      </w:r>
      <w:r w:rsidR="00043A09" w:rsidRPr="00182D44">
        <w:rPr>
          <w:rFonts w:ascii="Cambria" w:hAnsi="Cambria"/>
          <w:b/>
          <w:bCs/>
          <w:sz w:val="24"/>
          <w:szCs w:val="24"/>
        </w:rPr>
        <w:t>: Strategic Goal 2</w:t>
      </w:r>
      <w:r w:rsidRPr="00E53A55">
        <w:rPr>
          <w:rFonts w:ascii="Cambria" w:hAnsi="Cambria"/>
          <w:b/>
          <w:bCs/>
          <w:sz w:val="24"/>
          <w:szCs w:val="24"/>
        </w:rPr>
        <w:t xml:space="preserve"> </w:t>
      </w:r>
    </w:p>
    <w:p w14:paraId="1C786599" w14:textId="32EE9DE1" w:rsidR="00E32E62" w:rsidRPr="00182D44" w:rsidRDefault="00E32E62" w:rsidP="00182D44">
      <w:pPr>
        <w:spacing w:line="276" w:lineRule="auto"/>
        <w:jc w:val="both"/>
        <w:rPr>
          <w:rFonts w:ascii="Cambria" w:hAnsi="Cambria"/>
          <w:sz w:val="24"/>
          <w:szCs w:val="24"/>
        </w:rPr>
      </w:pPr>
      <w:r w:rsidRPr="00E32E62">
        <w:rPr>
          <w:rFonts w:ascii="Cambria" w:eastAsia="Times New Roman" w:hAnsi="Cambria"/>
          <w:bCs/>
          <w:noProof/>
          <w:sz w:val="24"/>
          <w:szCs w:val="24"/>
        </w:rPr>
        <w:t xml:space="preserve">As depicted in the graphic below, </w:t>
      </w:r>
      <w:r w:rsidR="004566D5">
        <w:rPr>
          <w:rFonts w:ascii="Cambria" w:eastAsia="Times New Roman" w:hAnsi="Cambria"/>
          <w:bCs/>
          <w:noProof/>
          <w:sz w:val="24"/>
          <w:szCs w:val="24"/>
        </w:rPr>
        <w:t>PCLOB</w:t>
      </w:r>
      <w:r w:rsidRPr="00E32E62">
        <w:rPr>
          <w:rFonts w:ascii="Cambria" w:eastAsia="Times New Roman" w:hAnsi="Cambria"/>
          <w:bCs/>
          <w:noProof/>
          <w:sz w:val="24"/>
          <w:szCs w:val="24"/>
        </w:rPr>
        <w:t xml:space="preserve"> was tracking to meet </w:t>
      </w:r>
      <w:r w:rsidR="00293174">
        <w:rPr>
          <w:rFonts w:ascii="Cambria" w:eastAsia="Times New Roman" w:hAnsi="Cambria"/>
          <w:b/>
          <w:noProof/>
          <w:sz w:val="24"/>
          <w:szCs w:val="24"/>
        </w:rPr>
        <w:t>one</w:t>
      </w:r>
      <w:r w:rsidRPr="00E32E62">
        <w:rPr>
          <w:rFonts w:ascii="Cambria" w:eastAsia="Times New Roman" w:hAnsi="Cambria"/>
          <w:bCs/>
          <w:noProof/>
          <w:sz w:val="24"/>
          <w:szCs w:val="24"/>
        </w:rPr>
        <w:t xml:space="preserve"> of </w:t>
      </w:r>
      <w:r>
        <w:rPr>
          <w:rFonts w:ascii="Cambria" w:eastAsia="Times New Roman" w:hAnsi="Cambria"/>
          <w:b/>
          <w:noProof/>
          <w:sz w:val="24"/>
          <w:szCs w:val="24"/>
        </w:rPr>
        <w:t xml:space="preserve">three </w:t>
      </w:r>
      <w:r>
        <w:rPr>
          <w:rFonts w:ascii="Cambria" w:eastAsia="Times New Roman" w:hAnsi="Cambria"/>
          <w:bCs/>
          <w:noProof/>
          <w:sz w:val="24"/>
          <w:szCs w:val="24"/>
        </w:rPr>
        <w:t xml:space="preserve">(or </w:t>
      </w:r>
      <w:r w:rsidR="00293174">
        <w:rPr>
          <w:rFonts w:ascii="Cambria" w:eastAsia="Times New Roman" w:hAnsi="Cambria"/>
          <w:bCs/>
          <w:noProof/>
          <w:sz w:val="24"/>
          <w:szCs w:val="24"/>
        </w:rPr>
        <w:t>33</w:t>
      </w:r>
      <w:r>
        <w:rPr>
          <w:rFonts w:ascii="Cambria" w:eastAsia="Times New Roman" w:hAnsi="Cambria"/>
          <w:bCs/>
          <w:noProof/>
          <w:sz w:val="24"/>
          <w:szCs w:val="24"/>
        </w:rPr>
        <w:t>%)</w:t>
      </w:r>
      <w:r w:rsidRPr="00E32E62">
        <w:rPr>
          <w:rFonts w:ascii="Cambria" w:eastAsia="Times New Roman" w:hAnsi="Cambria"/>
          <w:bCs/>
          <w:noProof/>
          <w:sz w:val="24"/>
          <w:szCs w:val="24"/>
        </w:rPr>
        <w:t xml:space="preserve"> established performance indicators under this strategic goal by the end of FY 2025.</w:t>
      </w:r>
    </w:p>
    <w:p w14:paraId="6842CD28" w14:textId="22E82389" w:rsidR="00293174" w:rsidRDefault="001602AD" w:rsidP="00BC03F5">
      <w:pPr>
        <w:spacing w:before="240" w:line="276" w:lineRule="auto"/>
        <w:jc w:val="both"/>
        <w:rPr>
          <w:rFonts w:ascii="Cambria" w:hAnsi="Cambria"/>
          <w:sz w:val="24"/>
          <w:szCs w:val="24"/>
        </w:rPr>
      </w:pPr>
      <w:r w:rsidRPr="00502B1A">
        <w:rPr>
          <w:rFonts w:eastAsia="Times New Roman"/>
          <w:noProof/>
          <w:sz w:val="24"/>
          <w:szCs w:val="24"/>
        </w:rPr>
        <w:drawing>
          <wp:anchor distT="0" distB="0" distL="114300" distR="114300" simplePos="0" relativeHeight="252132864" behindDoc="0" locked="0" layoutInCell="1" allowOverlap="1" wp14:anchorId="4181BD64" wp14:editId="3AE858B7">
            <wp:simplePos x="0" y="0"/>
            <wp:positionH relativeFrom="column">
              <wp:posOffset>10160</wp:posOffset>
            </wp:positionH>
            <wp:positionV relativeFrom="paragraph">
              <wp:posOffset>1529715</wp:posOffset>
            </wp:positionV>
            <wp:extent cx="5943600" cy="2758440"/>
            <wp:effectExtent l="0" t="0" r="0" b="3810"/>
            <wp:wrapSquare wrapText="bothSides"/>
            <wp:docPr id="50735771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758440"/>
                    </a:xfrm>
                    <a:prstGeom prst="rect">
                      <a:avLst/>
                    </a:prstGeom>
                    <a:noFill/>
                    <a:ln>
                      <a:noFill/>
                    </a:ln>
                  </pic:spPr>
                </pic:pic>
              </a:graphicData>
            </a:graphic>
          </wp:anchor>
        </w:drawing>
      </w:r>
      <w:r w:rsidR="005D2875" w:rsidRPr="00182D44">
        <w:rPr>
          <w:rFonts w:ascii="Cambria" w:hAnsi="Cambria"/>
          <w:sz w:val="24"/>
          <w:szCs w:val="24"/>
        </w:rPr>
        <w:t xml:space="preserve">The </w:t>
      </w:r>
      <w:r w:rsidR="00307B42">
        <w:rPr>
          <w:rFonts w:ascii="Cambria" w:hAnsi="Cambria"/>
          <w:sz w:val="24"/>
          <w:szCs w:val="24"/>
        </w:rPr>
        <w:t>off-track measure</w:t>
      </w:r>
      <w:r w:rsidR="00674B9D">
        <w:rPr>
          <w:rFonts w:ascii="Cambria" w:hAnsi="Cambria"/>
          <w:sz w:val="24"/>
          <w:szCs w:val="24"/>
        </w:rPr>
        <w:t xml:space="preserve"> </w:t>
      </w:r>
      <w:r w:rsidR="001E4B17">
        <w:rPr>
          <w:rFonts w:ascii="Cambria" w:hAnsi="Cambria"/>
          <w:sz w:val="24"/>
          <w:szCs w:val="24"/>
        </w:rPr>
        <w:t xml:space="preserve">related to </w:t>
      </w:r>
      <w:r w:rsidR="00674B9D">
        <w:rPr>
          <w:rFonts w:ascii="Cambria" w:hAnsi="Cambria"/>
          <w:sz w:val="24"/>
          <w:szCs w:val="24"/>
        </w:rPr>
        <w:t>p</w:t>
      </w:r>
      <w:r w:rsidR="00674B9D" w:rsidRPr="00674B9D">
        <w:rPr>
          <w:rFonts w:ascii="Cambria" w:hAnsi="Cambria"/>
          <w:sz w:val="24"/>
          <w:szCs w:val="24"/>
        </w:rPr>
        <w:t>rovid</w:t>
      </w:r>
      <w:r w:rsidR="001E4B17">
        <w:rPr>
          <w:rFonts w:ascii="Cambria" w:hAnsi="Cambria"/>
          <w:sz w:val="24"/>
          <w:szCs w:val="24"/>
        </w:rPr>
        <w:t xml:space="preserve">ing </w:t>
      </w:r>
      <w:r w:rsidR="00674B9D" w:rsidRPr="00674B9D">
        <w:rPr>
          <w:rFonts w:ascii="Cambria" w:hAnsi="Cambria"/>
          <w:sz w:val="24"/>
          <w:szCs w:val="24"/>
        </w:rPr>
        <w:t xml:space="preserve">advice </w:t>
      </w:r>
      <w:r w:rsidR="00293174">
        <w:rPr>
          <w:rFonts w:ascii="Cambria" w:hAnsi="Cambria"/>
          <w:sz w:val="24"/>
          <w:szCs w:val="24"/>
        </w:rPr>
        <w:t>(#2.2.1)</w:t>
      </w:r>
      <w:r w:rsidR="00674B9D">
        <w:rPr>
          <w:rFonts w:ascii="Cambria" w:hAnsi="Cambria"/>
          <w:sz w:val="24"/>
          <w:szCs w:val="24"/>
        </w:rPr>
        <w:t xml:space="preserve"> </w:t>
      </w:r>
      <w:r w:rsidR="00281846">
        <w:rPr>
          <w:rFonts w:ascii="Cambria" w:hAnsi="Cambria"/>
          <w:sz w:val="24"/>
          <w:szCs w:val="24"/>
        </w:rPr>
        <w:t xml:space="preserve">stems from </w:t>
      </w:r>
      <w:r w:rsidR="00F263F8" w:rsidRPr="00182D44">
        <w:rPr>
          <w:rFonts w:ascii="Cambria" w:hAnsi="Cambria"/>
          <w:sz w:val="24"/>
          <w:szCs w:val="24"/>
        </w:rPr>
        <w:t xml:space="preserve">the </w:t>
      </w:r>
      <w:r w:rsidR="00A35430" w:rsidRPr="00182D44">
        <w:rPr>
          <w:rFonts w:ascii="Cambria" w:hAnsi="Cambria"/>
          <w:sz w:val="24"/>
          <w:szCs w:val="24"/>
        </w:rPr>
        <w:t>need</w:t>
      </w:r>
      <w:r w:rsidR="00F263F8" w:rsidRPr="00182D44">
        <w:rPr>
          <w:rFonts w:ascii="Cambria" w:hAnsi="Cambria"/>
          <w:sz w:val="24"/>
          <w:szCs w:val="24"/>
        </w:rPr>
        <w:t xml:space="preserve"> for</w:t>
      </w:r>
      <w:r w:rsidR="001E4B17">
        <w:rPr>
          <w:rFonts w:ascii="Cambria" w:hAnsi="Cambria"/>
          <w:sz w:val="24"/>
          <w:szCs w:val="24"/>
        </w:rPr>
        <w:t xml:space="preserve"> further</w:t>
      </w:r>
      <w:r w:rsidR="00F263F8" w:rsidRPr="00182D44">
        <w:rPr>
          <w:rFonts w:ascii="Cambria" w:hAnsi="Cambria"/>
          <w:sz w:val="24"/>
          <w:szCs w:val="24"/>
        </w:rPr>
        <w:t xml:space="preserve"> </w:t>
      </w:r>
      <w:r w:rsidR="0031737C">
        <w:rPr>
          <w:rFonts w:ascii="Cambria" w:hAnsi="Cambria"/>
          <w:sz w:val="24"/>
          <w:szCs w:val="24"/>
        </w:rPr>
        <w:t>cooperation from</w:t>
      </w:r>
      <w:r w:rsidR="00F263F8" w:rsidRPr="00182D44">
        <w:rPr>
          <w:rFonts w:ascii="Cambria" w:hAnsi="Cambria"/>
          <w:sz w:val="24"/>
          <w:szCs w:val="24"/>
        </w:rPr>
        <w:t xml:space="preserve"> other agencies</w:t>
      </w:r>
      <w:r w:rsidR="0031737C">
        <w:rPr>
          <w:rFonts w:ascii="Cambria" w:hAnsi="Cambria"/>
          <w:sz w:val="24"/>
          <w:szCs w:val="24"/>
        </w:rPr>
        <w:t>;</w:t>
      </w:r>
      <w:r w:rsidR="00B54A41">
        <w:rPr>
          <w:rFonts w:ascii="Cambria" w:hAnsi="Cambria"/>
          <w:sz w:val="24"/>
          <w:szCs w:val="24"/>
        </w:rPr>
        <w:t xml:space="preserve"> advice</w:t>
      </w:r>
      <w:r w:rsidR="00F263F8" w:rsidRPr="00182D44">
        <w:rPr>
          <w:rFonts w:ascii="Cambria" w:hAnsi="Cambria"/>
          <w:sz w:val="24"/>
          <w:szCs w:val="24"/>
        </w:rPr>
        <w:t xml:space="preserve"> can be </w:t>
      </w:r>
      <w:r w:rsidR="00717CA3">
        <w:rPr>
          <w:rFonts w:ascii="Cambria" w:hAnsi="Cambria"/>
          <w:sz w:val="24"/>
          <w:szCs w:val="24"/>
        </w:rPr>
        <w:t xml:space="preserve">offered </w:t>
      </w:r>
      <w:r w:rsidR="0031737C">
        <w:rPr>
          <w:rFonts w:ascii="Cambria" w:hAnsi="Cambria"/>
          <w:sz w:val="24"/>
          <w:szCs w:val="24"/>
        </w:rPr>
        <w:t xml:space="preserve">by PCLOB </w:t>
      </w:r>
      <w:r w:rsidR="00717CA3">
        <w:rPr>
          <w:rFonts w:ascii="Cambria" w:hAnsi="Cambria"/>
          <w:sz w:val="24"/>
          <w:szCs w:val="24"/>
        </w:rPr>
        <w:t xml:space="preserve">or requested </w:t>
      </w:r>
      <w:r w:rsidR="0031737C">
        <w:rPr>
          <w:rFonts w:ascii="Cambria" w:hAnsi="Cambria"/>
          <w:sz w:val="24"/>
          <w:szCs w:val="24"/>
        </w:rPr>
        <w:t>by other agencies</w:t>
      </w:r>
      <w:r w:rsidR="00B54A41">
        <w:rPr>
          <w:rFonts w:ascii="Cambria" w:hAnsi="Cambria"/>
          <w:sz w:val="24"/>
          <w:szCs w:val="24"/>
        </w:rPr>
        <w:t xml:space="preserve">. </w:t>
      </w:r>
      <w:r w:rsidR="001E4B17" w:rsidRPr="001E4B17">
        <w:rPr>
          <w:rFonts w:ascii="Cambria" w:hAnsi="Cambria"/>
          <w:sz w:val="24"/>
          <w:szCs w:val="24"/>
        </w:rPr>
        <w:t xml:space="preserve">Although PCLOB </w:t>
      </w:r>
      <w:r w:rsidR="00C65035">
        <w:rPr>
          <w:rFonts w:ascii="Cambria" w:hAnsi="Cambria"/>
          <w:sz w:val="24"/>
          <w:szCs w:val="24"/>
        </w:rPr>
        <w:t xml:space="preserve">recently completed advice projects and </w:t>
      </w:r>
      <w:r w:rsidR="0031737C">
        <w:rPr>
          <w:rFonts w:ascii="Cambria" w:hAnsi="Cambria"/>
          <w:sz w:val="24"/>
          <w:szCs w:val="24"/>
        </w:rPr>
        <w:t>did</w:t>
      </w:r>
      <w:r w:rsidR="0031737C" w:rsidRPr="001E4B17">
        <w:rPr>
          <w:rFonts w:ascii="Cambria" w:hAnsi="Cambria"/>
          <w:sz w:val="24"/>
          <w:szCs w:val="24"/>
        </w:rPr>
        <w:t xml:space="preserve"> </w:t>
      </w:r>
      <w:r w:rsidR="001E4B17" w:rsidRPr="001E4B17">
        <w:rPr>
          <w:rFonts w:ascii="Cambria" w:hAnsi="Cambria"/>
          <w:sz w:val="24"/>
          <w:szCs w:val="24"/>
        </w:rPr>
        <w:t xml:space="preserve">offer </w:t>
      </w:r>
      <w:r w:rsidR="0031737C">
        <w:rPr>
          <w:rFonts w:ascii="Cambria" w:hAnsi="Cambria"/>
          <w:sz w:val="24"/>
          <w:szCs w:val="24"/>
        </w:rPr>
        <w:t xml:space="preserve">several advice projects in FY 2025 (resulting in an on-track measure for #2.1.1), no agencies </w:t>
      </w:r>
      <w:r w:rsidR="001E4B17" w:rsidRPr="001E4B17">
        <w:rPr>
          <w:rFonts w:ascii="Cambria" w:hAnsi="Cambria"/>
          <w:sz w:val="24"/>
          <w:szCs w:val="24"/>
        </w:rPr>
        <w:t>agree</w:t>
      </w:r>
      <w:r w:rsidR="0031737C">
        <w:rPr>
          <w:rFonts w:ascii="Cambria" w:hAnsi="Cambria"/>
          <w:sz w:val="24"/>
          <w:szCs w:val="24"/>
        </w:rPr>
        <w:t>d</w:t>
      </w:r>
      <w:r w:rsidR="001E4B17" w:rsidRPr="001E4B17">
        <w:rPr>
          <w:rFonts w:ascii="Cambria" w:hAnsi="Cambria"/>
          <w:sz w:val="24"/>
          <w:szCs w:val="24"/>
        </w:rPr>
        <w:t xml:space="preserve"> to receive that advice and </w:t>
      </w:r>
      <w:r w:rsidR="0031737C">
        <w:rPr>
          <w:rFonts w:ascii="Cambria" w:hAnsi="Cambria"/>
          <w:sz w:val="24"/>
          <w:szCs w:val="24"/>
        </w:rPr>
        <w:t>thus, no advice projects were initiated</w:t>
      </w:r>
      <w:r w:rsidR="00293174">
        <w:rPr>
          <w:rFonts w:ascii="Cambria" w:hAnsi="Cambria"/>
          <w:sz w:val="24"/>
          <w:szCs w:val="24"/>
        </w:rPr>
        <w:t>.</w:t>
      </w:r>
      <w:r w:rsidR="0031737C">
        <w:rPr>
          <w:rFonts w:ascii="Cambria" w:hAnsi="Cambria"/>
          <w:sz w:val="24"/>
          <w:szCs w:val="24"/>
        </w:rPr>
        <w:t xml:space="preserve"> Similarly, PCLOB staff </w:t>
      </w:r>
      <w:r w:rsidR="00717CA3">
        <w:rPr>
          <w:rFonts w:ascii="Cambria" w:hAnsi="Cambria"/>
          <w:sz w:val="24"/>
          <w:szCs w:val="24"/>
        </w:rPr>
        <w:t xml:space="preserve">did not meet </w:t>
      </w:r>
      <w:r w:rsidR="0031737C">
        <w:rPr>
          <w:rFonts w:ascii="Cambria" w:hAnsi="Cambria"/>
          <w:sz w:val="24"/>
          <w:szCs w:val="24"/>
        </w:rPr>
        <w:t>with Section 803 CLPOs despite several outreach efforts, resulting in a second off-track measure result (#2.3.1).</w:t>
      </w:r>
    </w:p>
    <w:p w14:paraId="4D9B8E6F" w14:textId="0590B9D1" w:rsidR="00814F75" w:rsidRPr="00814F75" w:rsidRDefault="00814F75" w:rsidP="00C65035"/>
    <w:p w14:paraId="7734CF46" w14:textId="5CB793E6" w:rsidR="00F91672" w:rsidRPr="00502B1A" w:rsidRDefault="00F91672" w:rsidP="00814F75">
      <w:pPr>
        <w:pStyle w:val="Heading3"/>
        <w:rPr>
          <w:color w:val="002060"/>
          <w:sz w:val="24"/>
          <w:szCs w:val="20"/>
        </w:rPr>
      </w:pPr>
      <w:bookmarkStart w:id="69" w:name="_Toc179295663"/>
      <w:bookmarkStart w:id="70" w:name="_Toc212119660"/>
      <w:bookmarkStart w:id="71" w:name="_Toc213421234"/>
      <w:r w:rsidRPr="00502B1A">
        <w:rPr>
          <w:color w:val="002060"/>
          <w:sz w:val="24"/>
          <w:szCs w:val="20"/>
        </w:rPr>
        <w:lastRenderedPageBreak/>
        <w:t>STRATEGIC GOAL 3: TECHNOLOGY</w:t>
      </w:r>
      <w:bookmarkEnd w:id="69"/>
      <w:bookmarkEnd w:id="70"/>
      <w:bookmarkEnd w:id="71"/>
    </w:p>
    <w:p w14:paraId="4000A2B2" w14:textId="79B9453E" w:rsidR="00F91672" w:rsidRPr="000C50CC" w:rsidRDefault="00F91672" w:rsidP="00852464">
      <w:pPr>
        <w:pBdr>
          <w:bottom w:val="single" w:sz="12" w:space="6" w:color="002060"/>
        </w:pBdr>
        <w:jc w:val="both"/>
        <w:rPr>
          <w:rFonts w:ascii="Cambria" w:hAnsi="Cambria"/>
          <w:i/>
          <w:iCs/>
          <w:sz w:val="24"/>
          <w:szCs w:val="24"/>
        </w:rPr>
      </w:pPr>
      <w:proofErr w:type="gramStart"/>
      <w:r w:rsidRPr="000C50CC">
        <w:rPr>
          <w:rFonts w:ascii="Cambria" w:hAnsi="Cambria"/>
          <w:i/>
          <w:iCs/>
          <w:sz w:val="24"/>
          <w:szCs w:val="24"/>
        </w:rPr>
        <w:t>Strengthen</w:t>
      </w:r>
      <w:proofErr w:type="gramEnd"/>
      <w:r w:rsidRPr="000C50CC">
        <w:rPr>
          <w:rFonts w:ascii="Cambria" w:hAnsi="Cambria"/>
          <w:i/>
          <w:iCs/>
          <w:sz w:val="24"/>
          <w:szCs w:val="24"/>
        </w:rPr>
        <w:t xml:space="preserve"> </w:t>
      </w:r>
      <w:r>
        <w:rPr>
          <w:rFonts w:ascii="Cambria" w:hAnsi="Cambria"/>
          <w:i/>
          <w:iCs/>
          <w:sz w:val="24"/>
          <w:szCs w:val="24"/>
        </w:rPr>
        <w:t>PCLOB</w:t>
      </w:r>
      <w:r w:rsidRPr="000C50CC">
        <w:rPr>
          <w:rFonts w:ascii="Cambria" w:hAnsi="Cambria"/>
          <w:i/>
          <w:iCs/>
          <w:sz w:val="24"/>
          <w:szCs w:val="24"/>
        </w:rPr>
        <w:t>’s capabilities and knowledge regarding advanced and emerging technologies, their potential impacts on, and potential to safeguard, privacy and civil liberties, and their potential uses to perform oversight.</w:t>
      </w:r>
    </w:p>
    <w:p w14:paraId="736E60A6" w14:textId="0E2A301D" w:rsidR="00F91672" w:rsidRPr="000C50CC" w:rsidRDefault="00F91672" w:rsidP="00814F75">
      <w:pPr>
        <w:jc w:val="both"/>
        <w:rPr>
          <w:rFonts w:ascii="Cambria" w:hAnsi="Cambria"/>
          <w:b/>
          <w:bCs/>
          <w:sz w:val="24"/>
          <w:szCs w:val="24"/>
        </w:rPr>
      </w:pPr>
      <w:r w:rsidRPr="000C50CC">
        <w:rPr>
          <w:rFonts w:ascii="Cambria" w:hAnsi="Cambria"/>
          <w:b/>
          <w:bCs/>
          <w:sz w:val="24"/>
          <w:szCs w:val="24"/>
        </w:rPr>
        <w:t>Background</w:t>
      </w:r>
    </w:p>
    <w:p w14:paraId="6C7EC646" w14:textId="71425E94" w:rsidR="00F91672" w:rsidRPr="005430F9" w:rsidRDefault="00F91672" w:rsidP="00814F75">
      <w:pPr>
        <w:jc w:val="both"/>
        <w:rPr>
          <w:rFonts w:ascii="Cambria" w:hAnsi="Cambria"/>
          <w:sz w:val="24"/>
          <w:szCs w:val="24"/>
        </w:rPr>
      </w:pPr>
      <w:r w:rsidRPr="005430F9">
        <w:rPr>
          <w:rFonts w:ascii="Cambria" w:hAnsi="Cambria"/>
          <w:sz w:val="24"/>
          <w:szCs w:val="24"/>
        </w:rPr>
        <w:t xml:space="preserve">Given the potential implications of new and developing technologies for privacy and civil liberties, their potential deployment should be accompanied by rigorous independent consideration of privacy and civil liberties concerns, </w:t>
      </w:r>
      <w:r w:rsidRPr="000C50CC">
        <w:rPr>
          <w:rFonts w:ascii="Cambria" w:hAnsi="Cambria"/>
          <w:sz w:val="24"/>
          <w:szCs w:val="24"/>
        </w:rPr>
        <w:t>considering</w:t>
      </w:r>
      <w:r w:rsidRPr="005430F9">
        <w:rPr>
          <w:rFonts w:ascii="Cambria" w:hAnsi="Cambria"/>
          <w:sz w:val="24"/>
          <w:szCs w:val="24"/>
        </w:rPr>
        <w:t xml:space="preserve"> the views of stakeholders inside and outside of government.</w:t>
      </w:r>
    </w:p>
    <w:p w14:paraId="568962F0" w14:textId="1270FD28" w:rsidR="00F91672" w:rsidRPr="000C50CC" w:rsidRDefault="00F91672" w:rsidP="00814F75">
      <w:pPr>
        <w:jc w:val="both"/>
        <w:rPr>
          <w:rFonts w:ascii="Cambria" w:hAnsi="Cambria"/>
          <w:b/>
          <w:bCs/>
          <w:sz w:val="24"/>
          <w:szCs w:val="24"/>
        </w:rPr>
      </w:pPr>
      <w:r w:rsidRPr="000C50CC">
        <w:rPr>
          <w:rFonts w:ascii="Cambria" w:hAnsi="Cambria"/>
          <w:b/>
          <w:bCs/>
          <w:sz w:val="24"/>
          <w:szCs w:val="24"/>
        </w:rPr>
        <w:t xml:space="preserve">FY </w:t>
      </w:r>
      <w:r w:rsidR="0049075B">
        <w:rPr>
          <w:rFonts w:ascii="Cambria" w:hAnsi="Cambria"/>
          <w:b/>
          <w:bCs/>
          <w:sz w:val="24"/>
          <w:szCs w:val="24"/>
        </w:rPr>
        <w:t>2025</w:t>
      </w:r>
      <w:r w:rsidRPr="000C50CC">
        <w:rPr>
          <w:rFonts w:ascii="Cambria" w:hAnsi="Cambria"/>
          <w:b/>
          <w:bCs/>
          <w:sz w:val="24"/>
          <w:szCs w:val="24"/>
        </w:rPr>
        <w:t xml:space="preserve"> Accomplishments</w:t>
      </w:r>
    </w:p>
    <w:p w14:paraId="6FA58699" w14:textId="1163E3DB" w:rsidR="00F91672" w:rsidRDefault="00F91672" w:rsidP="00814F75">
      <w:pPr>
        <w:spacing w:line="276" w:lineRule="auto"/>
        <w:jc w:val="both"/>
        <w:rPr>
          <w:rFonts w:ascii="Cambria" w:hAnsi="Cambria"/>
          <w:sz w:val="24"/>
          <w:szCs w:val="24"/>
        </w:rPr>
      </w:pPr>
      <w:r w:rsidRPr="005430F9">
        <w:rPr>
          <w:rFonts w:ascii="Cambria" w:hAnsi="Cambria"/>
          <w:sz w:val="24"/>
          <w:szCs w:val="24"/>
        </w:rPr>
        <w:t xml:space="preserve">Several of PCLOB’s oversight projects included a particular focus on the government’s use of </w:t>
      </w:r>
      <w:r w:rsidR="00D967D6">
        <w:rPr>
          <w:rFonts w:ascii="Cambria" w:hAnsi="Cambria"/>
          <w:sz w:val="24"/>
          <w:szCs w:val="24"/>
        </w:rPr>
        <w:t>emerging</w:t>
      </w:r>
      <w:r w:rsidR="00D967D6" w:rsidRPr="005430F9">
        <w:rPr>
          <w:rFonts w:ascii="Cambria" w:hAnsi="Cambria"/>
          <w:sz w:val="24"/>
          <w:szCs w:val="24"/>
        </w:rPr>
        <w:t xml:space="preserve"> </w:t>
      </w:r>
      <w:r w:rsidRPr="005430F9">
        <w:rPr>
          <w:rFonts w:ascii="Cambria" w:hAnsi="Cambria"/>
          <w:sz w:val="24"/>
          <w:szCs w:val="24"/>
        </w:rPr>
        <w:t>technologies</w:t>
      </w:r>
      <w:r>
        <w:rPr>
          <w:rFonts w:ascii="Cambria" w:hAnsi="Cambria"/>
          <w:sz w:val="24"/>
          <w:szCs w:val="24"/>
        </w:rPr>
        <w:t>:</w:t>
      </w:r>
    </w:p>
    <w:p w14:paraId="212AF849" w14:textId="52735615" w:rsidR="00F91672" w:rsidRPr="00AA05E1" w:rsidRDefault="00235971" w:rsidP="00720708">
      <w:pPr>
        <w:numPr>
          <w:ilvl w:val="0"/>
          <w:numId w:val="6"/>
        </w:numPr>
        <w:spacing w:line="276" w:lineRule="auto"/>
        <w:ind w:left="720"/>
        <w:jc w:val="both"/>
        <w:rPr>
          <w:rFonts w:ascii="Cambria" w:hAnsi="Cambria"/>
          <w:sz w:val="24"/>
          <w:szCs w:val="24"/>
        </w:rPr>
      </w:pPr>
      <w:r>
        <w:rPr>
          <w:rFonts w:ascii="Cambria" w:hAnsi="Cambria"/>
          <w:noProof/>
          <w:sz w:val="24"/>
          <w:szCs w:val="24"/>
        </w:rPr>
        <w:drawing>
          <wp:anchor distT="0" distB="0" distL="114300" distR="114300" simplePos="0" relativeHeight="252097024" behindDoc="0" locked="0" layoutInCell="1" allowOverlap="1" wp14:anchorId="091BD863" wp14:editId="46214AB6">
            <wp:simplePos x="0" y="0"/>
            <wp:positionH relativeFrom="margin">
              <wp:posOffset>4166235</wp:posOffset>
            </wp:positionH>
            <wp:positionV relativeFrom="paragraph">
              <wp:posOffset>23866</wp:posOffset>
            </wp:positionV>
            <wp:extent cx="1759585" cy="2273935"/>
            <wp:effectExtent l="57150" t="57150" r="88265" b="88265"/>
            <wp:wrapSquare wrapText="bothSides"/>
            <wp:docPr id="179927528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75286" name="Picture 179927528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59585" cy="227393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91672" w:rsidRPr="00AA05E1">
        <w:rPr>
          <w:rFonts w:ascii="Cambria" w:hAnsi="Cambria"/>
          <w:b/>
          <w:bCs/>
          <w:sz w:val="24"/>
          <w:szCs w:val="24"/>
        </w:rPr>
        <w:t xml:space="preserve">Facial Recognition </w:t>
      </w:r>
      <w:r w:rsidR="002121B2">
        <w:rPr>
          <w:rFonts w:ascii="Cambria" w:hAnsi="Cambria"/>
          <w:b/>
          <w:bCs/>
          <w:sz w:val="24"/>
          <w:szCs w:val="24"/>
        </w:rPr>
        <w:t xml:space="preserve">Technology </w:t>
      </w:r>
      <w:r w:rsidR="00F91672" w:rsidRPr="00AA05E1">
        <w:rPr>
          <w:rFonts w:ascii="Cambria" w:hAnsi="Cambria"/>
          <w:b/>
          <w:bCs/>
          <w:sz w:val="24"/>
          <w:szCs w:val="24"/>
        </w:rPr>
        <w:t>in Aviation Security.</w:t>
      </w:r>
      <w:r w:rsidR="00F91672" w:rsidRPr="00AA05E1">
        <w:rPr>
          <w:rFonts w:ascii="Cambria" w:hAnsi="Cambria"/>
          <w:sz w:val="24"/>
          <w:szCs w:val="24"/>
        </w:rPr>
        <w:t xml:space="preserve"> </w:t>
      </w:r>
      <w:r w:rsidR="00D967D6" w:rsidRPr="00AA05E1">
        <w:rPr>
          <w:rFonts w:ascii="Cambria" w:hAnsi="Cambria"/>
          <w:sz w:val="24"/>
          <w:szCs w:val="24"/>
        </w:rPr>
        <w:t xml:space="preserve">As previously mentioned, </w:t>
      </w:r>
      <w:r w:rsidR="00D664E3" w:rsidRPr="00AA05E1">
        <w:rPr>
          <w:rFonts w:ascii="Cambria" w:hAnsi="Cambria"/>
          <w:sz w:val="24"/>
          <w:szCs w:val="24"/>
        </w:rPr>
        <w:t xml:space="preserve">PCLOB released a comprehensive staff </w:t>
      </w:r>
      <w:hyperlink r:id="rId70" w:history="1">
        <w:r w:rsidR="00D664E3" w:rsidRPr="00AA05E1">
          <w:rPr>
            <w:rStyle w:val="Hyperlink"/>
            <w:rFonts w:ascii="Cambria" w:hAnsi="Cambria"/>
            <w:sz w:val="24"/>
            <w:szCs w:val="24"/>
          </w:rPr>
          <w:t>report</w:t>
        </w:r>
      </w:hyperlink>
      <w:r w:rsidR="00D664E3" w:rsidRPr="00AA05E1">
        <w:rPr>
          <w:rFonts w:ascii="Cambria" w:hAnsi="Cambria"/>
          <w:sz w:val="24"/>
          <w:szCs w:val="24"/>
        </w:rPr>
        <w:t xml:space="preserve"> evaluating the </w:t>
      </w:r>
      <w:r w:rsidR="00E50060" w:rsidRPr="00AA05E1">
        <w:rPr>
          <w:rFonts w:ascii="Cambria" w:hAnsi="Cambria"/>
          <w:sz w:val="24"/>
          <w:szCs w:val="24"/>
        </w:rPr>
        <w:t>TSA’s</w:t>
      </w:r>
      <w:r w:rsidR="00D664E3" w:rsidRPr="00AA05E1">
        <w:rPr>
          <w:rFonts w:ascii="Cambria" w:hAnsi="Cambria"/>
          <w:sz w:val="24"/>
          <w:szCs w:val="24"/>
        </w:rPr>
        <w:t xml:space="preserve"> use of facial recognition technology for aviation security. The report reviews how facial recognition technology is used to verify the identity of passengers at airport security checkpoints, considering both operational benefits and privacy and civil liberties concerns</w:t>
      </w:r>
      <w:r w:rsidR="00852464">
        <w:rPr>
          <w:rFonts w:ascii="Cambria" w:hAnsi="Cambria"/>
          <w:sz w:val="24"/>
          <w:szCs w:val="24"/>
        </w:rPr>
        <w:t xml:space="preserve">; </w:t>
      </w:r>
      <w:r w:rsidR="00D664E3" w:rsidRPr="00AA05E1">
        <w:rPr>
          <w:rFonts w:ascii="Cambria" w:hAnsi="Cambria"/>
          <w:sz w:val="24"/>
          <w:szCs w:val="24"/>
        </w:rPr>
        <w:t>discusses risks to privacy and civil liberties and how TSA addresses those risks</w:t>
      </w:r>
      <w:r w:rsidR="00852464">
        <w:rPr>
          <w:rFonts w:ascii="Cambria" w:hAnsi="Cambria"/>
          <w:sz w:val="24"/>
          <w:szCs w:val="24"/>
        </w:rPr>
        <w:t>;</w:t>
      </w:r>
      <w:r w:rsidR="00D664E3" w:rsidRPr="00AA05E1">
        <w:rPr>
          <w:rFonts w:ascii="Cambria" w:hAnsi="Cambria"/>
          <w:sz w:val="24"/>
          <w:szCs w:val="24"/>
        </w:rPr>
        <w:t xml:space="preserve"> and makes recommendations to further improve the program.</w:t>
      </w:r>
    </w:p>
    <w:p w14:paraId="225995F6" w14:textId="564AA8FF" w:rsidR="00720708" w:rsidRPr="00AA05E1" w:rsidRDefault="00720708" w:rsidP="00720708">
      <w:pPr>
        <w:numPr>
          <w:ilvl w:val="0"/>
          <w:numId w:val="6"/>
        </w:numPr>
        <w:spacing w:line="276" w:lineRule="auto"/>
        <w:ind w:left="720"/>
        <w:jc w:val="both"/>
        <w:rPr>
          <w:rFonts w:ascii="Cambria" w:hAnsi="Cambria"/>
          <w:sz w:val="24"/>
          <w:szCs w:val="24"/>
        </w:rPr>
      </w:pPr>
      <w:r w:rsidRPr="00AA05E1">
        <w:rPr>
          <w:rFonts w:ascii="Cambria" w:hAnsi="Cambria"/>
          <w:b/>
          <w:bCs/>
          <w:sz w:val="24"/>
          <w:szCs w:val="24"/>
        </w:rPr>
        <w:t xml:space="preserve">Artificial Intelligence </w:t>
      </w:r>
      <w:r w:rsidR="00043A09" w:rsidRPr="00AA05E1">
        <w:rPr>
          <w:rFonts w:ascii="Cambria" w:hAnsi="Cambria"/>
          <w:b/>
          <w:bCs/>
          <w:sz w:val="24"/>
          <w:szCs w:val="24"/>
        </w:rPr>
        <w:t xml:space="preserve">(AI) </w:t>
      </w:r>
      <w:r w:rsidRPr="00AA05E1">
        <w:rPr>
          <w:rFonts w:ascii="Cambria" w:hAnsi="Cambria"/>
          <w:b/>
          <w:bCs/>
          <w:sz w:val="24"/>
          <w:szCs w:val="24"/>
        </w:rPr>
        <w:t>and Machine Learning.</w:t>
      </w:r>
      <w:r w:rsidRPr="00AA05E1">
        <w:rPr>
          <w:rFonts w:ascii="Cambria" w:hAnsi="Cambria"/>
          <w:sz w:val="24"/>
          <w:szCs w:val="24"/>
        </w:rPr>
        <w:t xml:space="preserve"> </w:t>
      </w:r>
      <w:r w:rsidR="00043A09" w:rsidRPr="00AA05E1">
        <w:rPr>
          <w:rFonts w:ascii="Cambria" w:hAnsi="Cambria"/>
          <w:sz w:val="24"/>
          <w:szCs w:val="24"/>
        </w:rPr>
        <w:t>With the increased use of AI by national security agencies comes increased risks to privacy, civil rights</w:t>
      </w:r>
      <w:r w:rsidR="00396E55" w:rsidRPr="00AA05E1">
        <w:rPr>
          <w:rFonts w:ascii="Cambria" w:hAnsi="Cambria"/>
          <w:sz w:val="24"/>
          <w:szCs w:val="24"/>
        </w:rPr>
        <w:t>,</w:t>
      </w:r>
      <w:r w:rsidR="00043A09" w:rsidRPr="00AA05E1">
        <w:rPr>
          <w:rFonts w:ascii="Cambria" w:hAnsi="Cambria"/>
          <w:sz w:val="24"/>
          <w:szCs w:val="24"/>
        </w:rPr>
        <w:t xml:space="preserve"> and civil liberties. </w:t>
      </w:r>
      <w:r w:rsidRPr="00AA05E1">
        <w:rPr>
          <w:rFonts w:ascii="Cambria" w:hAnsi="Cambria"/>
          <w:sz w:val="24"/>
          <w:szCs w:val="24"/>
        </w:rPr>
        <w:t xml:space="preserve">PCLOB continued to track developments regarding advanced and emerging technologies through an </w:t>
      </w:r>
      <w:r w:rsidR="009F592C" w:rsidRPr="00AA05E1">
        <w:rPr>
          <w:rFonts w:ascii="Cambria" w:hAnsi="Cambria"/>
          <w:sz w:val="24"/>
          <w:szCs w:val="24"/>
        </w:rPr>
        <w:t xml:space="preserve">AI </w:t>
      </w:r>
      <w:r w:rsidRPr="00AA05E1">
        <w:rPr>
          <w:rFonts w:ascii="Cambria" w:hAnsi="Cambria"/>
          <w:sz w:val="24"/>
          <w:szCs w:val="24"/>
        </w:rPr>
        <w:t xml:space="preserve">and machine learning working group and </w:t>
      </w:r>
      <w:r w:rsidR="004A4EF0" w:rsidRPr="00AA05E1">
        <w:rPr>
          <w:rFonts w:ascii="Cambria" w:hAnsi="Cambria"/>
          <w:sz w:val="24"/>
          <w:szCs w:val="24"/>
        </w:rPr>
        <w:t xml:space="preserve">is </w:t>
      </w:r>
      <w:r w:rsidRPr="00AA05E1">
        <w:rPr>
          <w:rFonts w:ascii="Cambria" w:hAnsi="Cambria"/>
          <w:sz w:val="24"/>
          <w:szCs w:val="24"/>
        </w:rPr>
        <w:t>consider</w:t>
      </w:r>
      <w:r w:rsidR="004A4EF0" w:rsidRPr="00AA05E1">
        <w:rPr>
          <w:rFonts w:ascii="Cambria" w:hAnsi="Cambria"/>
          <w:sz w:val="24"/>
          <w:szCs w:val="24"/>
        </w:rPr>
        <w:t>ing</w:t>
      </w:r>
      <w:r w:rsidRPr="00AA05E1">
        <w:rPr>
          <w:rFonts w:ascii="Cambria" w:hAnsi="Cambria"/>
          <w:sz w:val="24"/>
          <w:szCs w:val="24"/>
        </w:rPr>
        <w:t xml:space="preserve"> various areas for possible oversight and advice.</w:t>
      </w:r>
      <w:r w:rsidR="004A4EF0" w:rsidRPr="00AA05E1">
        <w:rPr>
          <w:rFonts w:ascii="Cambria" w:hAnsi="Cambria"/>
          <w:sz w:val="24"/>
          <w:szCs w:val="24"/>
        </w:rPr>
        <w:t xml:space="preserve"> </w:t>
      </w:r>
    </w:p>
    <w:p w14:paraId="5C9A54B5" w14:textId="441D690A" w:rsidR="004800D8" w:rsidRDefault="004800D8">
      <w:pPr>
        <w:rPr>
          <w:rFonts w:ascii="Cambria" w:hAnsi="Cambria"/>
          <w:sz w:val="24"/>
          <w:szCs w:val="24"/>
        </w:rPr>
      </w:pPr>
      <w:r>
        <w:rPr>
          <w:rFonts w:ascii="Cambria" w:hAnsi="Cambria"/>
          <w:sz w:val="24"/>
          <w:szCs w:val="24"/>
        </w:rPr>
        <w:br w:type="page"/>
      </w:r>
    </w:p>
    <w:p w14:paraId="00755C6C" w14:textId="3DFDDA31" w:rsidR="004800D8" w:rsidRDefault="004800D8" w:rsidP="00720708">
      <w:pPr>
        <w:rPr>
          <w:rFonts w:ascii="Cambria" w:hAnsi="Cambria"/>
          <w:sz w:val="24"/>
          <w:szCs w:val="24"/>
        </w:rPr>
      </w:pPr>
      <w:r w:rsidRPr="003E3525">
        <w:rPr>
          <w:rFonts w:ascii="Cambria" w:hAnsi="Cambria"/>
          <w:b/>
          <w:bCs/>
          <w:noProof/>
          <w:color w:val="FFFFFF" w:themeColor="background1"/>
          <w:sz w:val="24"/>
          <w:szCs w:val="24"/>
        </w:rPr>
        <w:lastRenderedPageBreak/>
        <mc:AlternateContent>
          <mc:Choice Requires="wps">
            <w:drawing>
              <wp:anchor distT="0" distB="0" distL="114300" distR="114300" simplePos="0" relativeHeight="251776512" behindDoc="1" locked="0" layoutInCell="1" allowOverlap="1" wp14:anchorId="6FA06901" wp14:editId="18C008FE">
                <wp:simplePos x="0" y="0"/>
                <wp:positionH relativeFrom="page">
                  <wp:posOffset>676275</wp:posOffset>
                </wp:positionH>
                <wp:positionV relativeFrom="page">
                  <wp:posOffset>1266825</wp:posOffset>
                </wp:positionV>
                <wp:extent cx="6459855" cy="6429375"/>
                <wp:effectExtent l="38100" t="38100" r="112395" b="123825"/>
                <wp:wrapNone/>
                <wp:docPr id="1888577926" name="Rectangle 39"/>
                <wp:cNvGraphicFramePr/>
                <a:graphic xmlns:a="http://schemas.openxmlformats.org/drawingml/2006/main">
                  <a:graphicData uri="http://schemas.microsoft.com/office/word/2010/wordprocessingShape">
                    <wps:wsp>
                      <wps:cNvSpPr/>
                      <wps:spPr>
                        <a:xfrm>
                          <a:off x="0" y="0"/>
                          <a:ext cx="6459855" cy="6429375"/>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545D1" id="Rectangle 39" o:spid="_x0000_s1026" style="position:absolute;margin-left:53.25pt;margin-top:99.75pt;width:508.65pt;height:506.25pt;z-index:-2515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" filled="f" strokecolor="#002060" strokeweight="1.5pt">
                <v:shadow on="t" color="black" opacity="26214f" origin="-.5,-.5" offset=".74836mm,.74836mm"/>
                <w10:wrap anchorx="page" anchory="page"/>
              </v:rect>
            </w:pict>
          </mc:Fallback>
        </mc:AlternateContent>
      </w:r>
    </w:p>
    <w:p w14:paraId="03A87842" w14:textId="1CE57A00" w:rsidR="00720708" w:rsidRPr="004800D8" w:rsidRDefault="00720708" w:rsidP="00720708">
      <w:pPr>
        <w:rPr>
          <w:rFonts w:ascii="Cambria" w:hAnsi="Cambria"/>
          <w:b/>
          <w:bCs/>
          <w:sz w:val="24"/>
          <w:szCs w:val="24"/>
        </w:rPr>
      </w:pPr>
      <w:r w:rsidRPr="004800D8">
        <w:rPr>
          <w:rFonts w:ascii="Cambria" w:hAnsi="Cambria"/>
          <w:b/>
          <w:bCs/>
          <w:sz w:val="24"/>
          <w:szCs w:val="24"/>
        </w:rPr>
        <w:t xml:space="preserve">FY </w:t>
      </w:r>
      <w:r w:rsidR="0049075B">
        <w:rPr>
          <w:rFonts w:ascii="Cambria" w:hAnsi="Cambria"/>
          <w:b/>
          <w:bCs/>
          <w:sz w:val="24"/>
          <w:szCs w:val="24"/>
        </w:rPr>
        <w:t>2025</w:t>
      </w:r>
      <w:r w:rsidRPr="004800D8">
        <w:rPr>
          <w:rFonts w:ascii="Cambria" w:hAnsi="Cambria"/>
          <w:b/>
          <w:bCs/>
          <w:sz w:val="24"/>
          <w:szCs w:val="24"/>
        </w:rPr>
        <w:t xml:space="preserve"> Performance Results</w:t>
      </w:r>
      <w:r w:rsidR="00043A09" w:rsidRPr="00182D44">
        <w:rPr>
          <w:rFonts w:ascii="Cambria" w:hAnsi="Cambria"/>
          <w:b/>
          <w:bCs/>
          <w:sz w:val="24"/>
          <w:szCs w:val="24"/>
        </w:rPr>
        <w:t>: Strategic Goal 3</w:t>
      </w:r>
    </w:p>
    <w:p w14:paraId="07D6242D" w14:textId="2C8668BE" w:rsidR="00FB0A71" w:rsidRDefault="00FB0A71" w:rsidP="00FB0A71">
      <w:pPr>
        <w:spacing w:line="276" w:lineRule="auto"/>
        <w:jc w:val="both"/>
        <w:rPr>
          <w:rFonts w:ascii="Cambria" w:eastAsia="Times New Roman" w:hAnsi="Cambria"/>
          <w:bCs/>
          <w:noProof/>
          <w:sz w:val="24"/>
          <w:szCs w:val="24"/>
        </w:rPr>
      </w:pPr>
      <w:r w:rsidRPr="00E32E62">
        <w:rPr>
          <w:rFonts w:ascii="Cambria" w:eastAsia="Times New Roman" w:hAnsi="Cambria"/>
          <w:bCs/>
          <w:noProof/>
          <w:sz w:val="24"/>
          <w:szCs w:val="24"/>
        </w:rPr>
        <w:t xml:space="preserve">As depicted in the graphic below, </w:t>
      </w:r>
      <w:r w:rsidR="00C85A23">
        <w:rPr>
          <w:rFonts w:ascii="Cambria" w:eastAsia="Times New Roman" w:hAnsi="Cambria"/>
          <w:bCs/>
          <w:noProof/>
          <w:sz w:val="24"/>
          <w:szCs w:val="24"/>
        </w:rPr>
        <w:t>PCLOB</w:t>
      </w:r>
      <w:r w:rsidRPr="00E32E62">
        <w:rPr>
          <w:rFonts w:ascii="Cambria" w:eastAsia="Times New Roman" w:hAnsi="Cambria"/>
          <w:bCs/>
          <w:noProof/>
          <w:sz w:val="24"/>
          <w:szCs w:val="24"/>
        </w:rPr>
        <w:t xml:space="preserve"> was tracking to meet</w:t>
      </w:r>
      <w:r w:rsidR="00C85A23">
        <w:rPr>
          <w:rFonts w:ascii="Cambria" w:eastAsia="Times New Roman" w:hAnsi="Cambria"/>
          <w:bCs/>
          <w:noProof/>
          <w:sz w:val="24"/>
          <w:szCs w:val="24"/>
        </w:rPr>
        <w:t xml:space="preserve"> </w:t>
      </w:r>
      <w:r w:rsidR="00C85A23" w:rsidRPr="00EE3EAB">
        <w:rPr>
          <w:rFonts w:ascii="Cambria" w:eastAsia="Times New Roman" w:hAnsi="Cambria"/>
          <w:b/>
          <w:noProof/>
          <w:sz w:val="24"/>
          <w:szCs w:val="24"/>
        </w:rPr>
        <w:t>all</w:t>
      </w:r>
      <w:r w:rsidRPr="00E32E62">
        <w:rPr>
          <w:rFonts w:ascii="Cambria" w:eastAsia="Times New Roman" w:hAnsi="Cambria"/>
          <w:bCs/>
          <w:noProof/>
          <w:sz w:val="24"/>
          <w:szCs w:val="24"/>
        </w:rPr>
        <w:t xml:space="preserve"> </w:t>
      </w:r>
      <w:r w:rsidR="003B72A8">
        <w:rPr>
          <w:rFonts w:ascii="Cambria" w:eastAsia="Times New Roman" w:hAnsi="Cambria"/>
          <w:b/>
          <w:noProof/>
          <w:sz w:val="24"/>
          <w:szCs w:val="24"/>
        </w:rPr>
        <w:t>seven</w:t>
      </w:r>
      <w:r>
        <w:rPr>
          <w:rFonts w:ascii="Cambria" w:eastAsia="Times New Roman" w:hAnsi="Cambria"/>
          <w:b/>
          <w:noProof/>
          <w:sz w:val="24"/>
          <w:szCs w:val="24"/>
        </w:rPr>
        <w:t xml:space="preserve"> </w:t>
      </w:r>
      <w:r>
        <w:rPr>
          <w:rFonts w:ascii="Cambria" w:eastAsia="Times New Roman" w:hAnsi="Cambria"/>
          <w:bCs/>
          <w:noProof/>
          <w:sz w:val="24"/>
          <w:szCs w:val="24"/>
        </w:rPr>
        <w:t xml:space="preserve">(or </w:t>
      </w:r>
      <w:r w:rsidR="00C85A23">
        <w:rPr>
          <w:rFonts w:ascii="Cambria" w:eastAsia="Times New Roman" w:hAnsi="Cambria"/>
          <w:bCs/>
          <w:noProof/>
          <w:sz w:val="24"/>
          <w:szCs w:val="24"/>
        </w:rPr>
        <w:t>100</w:t>
      </w:r>
      <w:r>
        <w:rPr>
          <w:rFonts w:ascii="Cambria" w:eastAsia="Times New Roman" w:hAnsi="Cambria"/>
          <w:bCs/>
          <w:noProof/>
          <w:sz w:val="24"/>
          <w:szCs w:val="24"/>
        </w:rPr>
        <w:t>%)</w:t>
      </w:r>
      <w:r w:rsidRPr="00E32E62">
        <w:rPr>
          <w:rFonts w:ascii="Cambria" w:eastAsia="Times New Roman" w:hAnsi="Cambria"/>
          <w:bCs/>
          <w:noProof/>
          <w:sz w:val="24"/>
          <w:szCs w:val="24"/>
        </w:rPr>
        <w:t xml:space="preserve"> established performance indicators under this strategic goal by the end of FY 2025.</w:t>
      </w:r>
    </w:p>
    <w:p w14:paraId="6233092F" w14:textId="40B5A814" w:rsidR="002A4DBC" w:rsidRDefault="002A4DBC" w:rsidP="00FB0A71">
      <w:pPr>
        <w:spacing w:line="276" w:lineRule="auto"/>
        <w:jc w:val="both"/>
        <w:rPr>
          <w:rFonts w:ascii="Cambria" w:eastAsia="Times New Roman" w:hAnsi="Cambria"/>
          <w:bCs/>
          <w:noProof/>
          <w:sz w:val="24"/>
          <w:szCs w:val="24"/>
        </w:rPr>
      </w:pPr>
      <w:r>
        <w:rPr>
          <w:rFonts w:ascii="Cambria" w:eastAsia="Times New Roman" w:hAnsi="Cambria"/>
          <w:bCs/>
          <w:noProof/>
          <w:sz w:val="24"/>
          <w:szCs w:val="24"/>
        </w:rPr>
        <w:t xml:space="preserve">PCLOB met </w:t>
      </w:r>
      <w:r w:rsidR="000201F2">
        <w:rPr>
          <w:rFonts w:ascii="Cambria" w:eastAsia="Times New Roman" w:hAnsi="Cambria"/>
          <w:bCs/>
          <w:noProof/>
          <w:sz w:val="24"/>
          <w:szCs w:val="24"/>
        </w:rPr>
        <w:t xml:space="preserve">all of </w:t>
      </w:r>
      <w:r>
        <w:rPr>
          <w:rFonts w:ascii="Cambria" w:eastAsia="Times New Roman" w:hAnsi="Cambria"/>
          <w:bCs/>
          <w:noProof/>
          <w:sz w:val="24"/>
          <w:szCs w:val="24"/>
        </w:rPr>
        <w:t>its strategic objectives relating to</w:t>
      </w:r>
      <w:r w:rsidR="00E4551E">
        <w:rPr>
          <w:rFonts w:ascii="Cambria" w:eastAsia="Times New Roman" w:hAnsi="Cambria"/>
          <w:bCs/>
          <w:noProof/>
          <w:sz w:val="24"/>
          <w:szCs w:val="24"/>
        </w:rPr>
        <w:t xml:space="preserve"> the</w:t>
      </w:r>
      <w:r>
        <w:rPr>
          <w:rFonts w:ascii="Cambria" w:eastAsia="Times New Roman" w:hAnsi="Cambria"/>
          <w:bCs/>
          <w:noProof/>
          <w:sz w:val="24"/>
          <w:szCs w:val="24"/>
        </w:rPr>
        <w:t xml:space="preserve"> privacy and civil liberties implications of using </w:t>
      </w:r>
      <w:r w:rsidRPr="002A4DBC">
        <w:rPr>
          <w:rFonts w:ascii="Cambria" w:eastAsia="Times New Roman" w:hAnsi="Cambria"/>
          <w:bCs/>
          <w:noProof/>
          <w:sz w:val="24"/>
          <w:szCs w:val="24"/>
        </w:rPr>
        <w:t>advanced and emerging technologies</w:t>
      </w:r>
      <w:r>
        <w:rPr>
          <w:rFonts w:ascii="Cambria" w:eastAsia="Times New Roman" w:hAnsi="Cambria"/>
          <w:bCs/>
          <w:noProof/>
          <w:sz w:val="24"/>
          <w:szCs w:val="24"/>
        </w:rPr>
        <w:t xml:space="preserve">. </w:t>
      </w:r>
      <w:r w:rsidR="000201F2">
        <w:rPr>
          <w:rFonts w:ascii="Cambria" w:eastAsia="Times New Roman" w:hAnsi="Cambria"/>
          <w:bCs/>
          <w:noProof/>
          <w:sz w:val="24"/>
          <w:szCs w:val="24"/>
        </w:rPr>
        <w:t xml:space="preserve">As previously mentioned, </w:t>
      </w:r>
      <w:r w:rsidR="000201F2" w:rsidRPr="008D11AD">
        <w:rPr>
          <w:rFonts w:ascii="Cambria" w:hAnsi="Cambria" w:cs="Calibri"/>
          <w:sz w:val="24"/>
          <w:szCs w:val="24"/>
        </w:rPr>
        <w:t xml:space="preserve">PCLOB opened a </w:t>
      </w:r>
      <w:r w:rsidR="000201F2" w:rsidRPr="00865178">
        <w:rPr>
          <w:rFonts w:ascii="Cambria" w:hAnsi="Cambria" w:cs="Calibri"/>
          <w:sz w:val="24"/>
          <w:szCs w:val="24"/>
        </w:rPr>
        <w:t xml:space="preserve">new project on the </w:t>
      </w:r>
      <w:r w:rsidR="00426F96">
        <w:rPr>
          <w:rFonts w:ascii="Cambria" w:hAnsi="Cambria" w:cs="Calibri"/>
          <w:sz w:val="24"/>
          <w:szCs w:val="24"/>
        </w:rPr>
        <w:t xml:space="preserve">Section 702 </w:t>
      </w:r>
      <w:r w:rsidR="000201F2" w:rsidRPr="00865178">
        <w:rPr>
          <w:rFonts w:ascii="Cambria" w:hAnsi="Cambria" w:cs="Calibri"/>
          <w:sz w:val="24"/>
          <w:szCs w:val="24"/>
        </w:rPr>
        <w:t xml:space="preserve">surveillance program </w:t>
      </w:r>
      <w:r w:rsidR="0069424C">
        <w:rPr>
          <w:rFonts w:ascii="Cambria" w:hAnsi="Cambria" w:cs="Calibri"/>
          <w:sz w:val="24"/>
          <w:szCs w:val="24"/>
        </w:rPr>
        <w:t xml:space="preserve">early in the year </w:t>
      </w:r>
      <w:r w:rsidR="00426F96">
        <w:rPr>
          <w:rFonts w:ascii="Cambria" w:hAnsi="Cambria" w:cs="Calibri"/>
          <w:sz w:val="24"/>
          <w:szCs w:val="24"/>
        </w:rPr>
        <w:t xml:space="preserve">and issued </w:t>
      </w:r>
      <w:r w:rsidR="00426F96">
        <w:rPr>
          <w:rFonts w:ascii="Cambria" w:eastAsia="Times New Roman" w:hAnsi="Cambria"/>
          <w:bCs/>
          <w:noProof/>
          <w:sz w:val="24"/>
          <w:szCs w:val="24"/>
        </w:rPr>
        <w:t xml:space="preserve">a </w:t>
      </w:r>
      <w:r w:rsidR="00E4551E">
        <w:rPr>
          <w:rFonts w:ascii="Cambria" w:eastAsia="Times New Roman" w:hAnsi="Cambria"/>
          <w:bCs/>
          <w:noProof/>
          <w:sz w:val="24"/>
          <w:szCs w:val="24"/>
        </w:rPr>
        <w:t>staff report on TSA’s use of facial recognition technology</w:t>
      </w:r>
      <w:r w:rsidR="0069424C">
        <w:rPr>
          <w:rFonts w:ascii="Cambria" w:eastAsia="Times New Roman" w:hAnsi="Cambria"/>
          <w:bCs/>
          <w:noProof/>
          <w:sz w:val="24"/>
          <w:szCs w:val="24"/>
        </w:rPr>
        <w:t xml:space="preserve"> in May 2025. Further, despite shifts in the agency’s staffing, PCLOB retained the desired technical expertise </w:t>
      </w:r>
      <w:r w:rsidR="00C727AE">
        <w:rPr>
          <w:rFonts w:ascii="Cambria" w:eastAsia="Times New Roman" w:hAnsi="Cambria"/>
          <w:bCs/>
          <w:noProof/>
          <w:sz w:val="24"/>
          <w:szCs w:val="24"/>
        </w:rPr>
        <w:t xml:space="preserve">necessary </w:t>
      </w:r>
      <w:r w:rsidR="0069424C">
        <w:rPr>
          <w:rFonts w:ascii="Cambria" w:eastAsia="Times New Roman" w:hAnsi="Cambria"/>
          <w:bCs/>
          <w:noProof/>
          <w:sz w:val="24"/>
          <w:szCs w:val="24"/>
        </w:rPr>
        <w:t xml:space="preserve">to </w:t>
      </w:r>
      <w:r w:rsidR="00C727AE">
        <w:rPr>
          <w:rFonts w:ascii="Cambria" w:eastAsia="Times New Roman" w:hAnsi="Cambria"/>
          <w:bCs/>
          <w:noProof/>
          <w:sz w:val="24"/>
          <w:szCs w:val="24"/>
        </w:rPr>
        <w:t>meet the other metrics relating to this strategic goal.</w:t>
      </w:r>
    </w:p>
    <w:p w14:paraId="6F30970E" w14:textId="52C4BF7E" w:rsidR="00606534" w:rsidRDefault="00C560AC">
      <w:pPr>
        <w:rPr>
          <w:rFonts w:ascii="Cambria" w:hAnsi="Cambria"/>
          <w:sz w:val="24"/>
          <w:szCs w:val="24"/>
        </w:rPr>
        <w:sectPr w:rsidR="00606534" w:rsidSect="00A47B91">
          <w:pgSz w:w="12240" w:h="15840"/>
          <w:pgMar w:top="1871" w:right="1440" w:bottom="1080" w:left="1440" w:header="450" w:footer="720" w:gutter="0"/>
          <w:cols w:space="720"/>
          <w:docGrid w:linePitch="360"/>
        </w:sectPr>
      </w:pPr>
      <w:r w:rsidRPr="00C560AC">
        <w:rPr>
          <w:rFonts w:ascii="Cambria" w:hAnsi="Cambria"/>
          <w:noProof/>
          <w:sz w:val="24"/>
          <w:szCs w:val="24"/>
        </w:rPr>
        <w:drawing>
          <wp:inline distT="0" distB="0" distL="0" distR="0" wp14:anchorId="1AD36D33" wp14:editId="7CA23D1A">
            <wp:extent cx="5943600" cy="3879215"/>
            <wp:effectExtent l="0" t="0" r="0" b="6985"/>
            <wp:docPr id="152467306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879215"/>
                    </a:xfrm>
                    <a:prstGeom prst="rect">
                      <a:avLst/>
                    </a:prstGeom>
                    <a:noFill/>
                    <a:ln>
                      <a:noFill/>
                    </a:ln>
                  </pic:spPr>
                </pic:pic>
              </a:graphicData>
            </a:graphic>
          </wp:inline>
        </w:drawing>
      </w:r>
      <w:r w:rsidR="00175B4E">
        <w:rPr>
          <w:rFonts w:ascii="Cambria" w:hAnsi="Cambria"/>
          <w:sz w:val="24"/>
          <w:szCs w:val="24"/>
        </w:rPr>
        <w:br w:type="page"/>
      </w:r>
    </w:p>
    <w:p w14:paraId="4492EBFC" w14:textId="5B71B867" w:rsidR="00F91672" w:rsidRPr="002345D3" w:rsidRDefault="00F91672" w:rsidP="002345D3">
      <w:pPr>
        <w:pStyle w:val="Heading3"/>
        <w:rPr>
          <w:color w:val="002060"/>
          <w:sz w:val="24"/>
          <w:szCs w:val="24"/>
        </w:rPr>
      </w:pPr>
      <w:bookmarkStart w:id="72" w:name="_Toc179295664"/>
      <w:bookmarkStart w:id="73" w:name="_Toc212119661"/>
      <w:bookmarkStart w:id="74" w:name="_Toc213421235"/>
      <w:r w:rsidRPr="002345D3">
        <w:rPr>
          <w:color w:val="002060"/>
          <w:sz w:val="24"/>
          <w:szCs w:val="24"/>
        </w:rPr>
        <w:lastRenderedPageBreak/>
        <w:t>STRATEGIC GOAL 4: TRANSPARENCY</w:t>
      </w:r>
      <w:bookmarkEnd w:id="72"/>
      <w:bookmarkEnd w:id="73"/>
      <w:bookmarkEnd w:id="74"/>
    </w:p>
    <w:p w14:paraId="5373FC76" w14:textId="4D43AE29" w:rsidR="00F91672" w:rsidRPr="000C50CC" w:rsidRDefault="00F91672" w:rsidP="00F91672">
      <w:pPr>
        <w:pBdr>
          <w:bottom w:val="single" w:sz="12" w:space="6" w:color="002060"/>
        </w:pBdr>
        <w:jc w:val="both"/>
        <w:rPr>
          <w:rFonts w:ascii="Cambria" w:hAnsi="Cambria"/>
          <w:i/>
          <w:iCs/>
          <w:sz w:val="24"/>
          <w:szCs w:val="24"/>
        </w:rPr>
      </w:pPr>
      <w:r w:rsidRPr="000C50CC">
        <w:rPr>
          <w:rFonts w:ascii="Cambria" w:hAnsi="Cambria"/>
          <w:i/>
          <w:iCs/>
          <w:sz w:val="24"/>
          <w:szCs w:val="24"/>
        </w:rPr>
        <w:t>Further promote transparency regarding PCLOB activities and executive branch counterterrorism efforts that impact privacy and civil liberties to the greatest extent possible, consistent with the protection of classified information and applicable law.</w:t>
      </w:r>
    </w:p>
    <w:p w14:paraId="23A91382" w14:textId="0FA18F5F" w:rsidR="00F91672" w:rsidRPr="000C50CC" w:rsidRDefault="00F91672" w:rsidP="00F91672">
      <w:pPr>
        <w:jc w:val="both"/>
        <w:rPr>
          <w:rFonts w:ascii="Cambria" w:hAnsi="Cambria"/>
          <w:b/>
          <w:bCs/>
          <w:sz w:val="24"/>
          <w:szCs w:val="24"/>
        </w:rPr>
      </w:pPr>
      <w:r w:rsidRPr="000C50CC">
        <w:rPr>
          <w:rFonts w:ascii="Cambria" w:hAnsi="Cambria"/>
          <w:b/>
          <w:bCs/>
          <w:sz w:val="24"/>
          <w:szCs w:val="24"/>
        </w:rPr>
        <w:t>Background</w:t>
      </w:r>
    </w:p>
    <w:p w14:paraId="285E377F" w14:textId="53A626DC" w:rsidR="00F91672" w:rsidRDefault="00F91672" w:rsidP="00F91672">
      <w:pPr>
        <w:spacing w:after="0" w:line="276" w:lineRule="auto"/>
        <w:jc w:val="both"/>
      </w:pPr>
      <w:r w:rsidRPr="000C50CC">
        <w:rPr>
          <w:rFonts w:ascii="Cambria" w:eastAsia="Times New Roman" w:hAnsi="Cambria"/>
          <w:bCs/>
          <w:color w:val="000000"/>
          <w:sz w:val="24"/>
          <w:szCs w:val="24"/>
        </w:rPr>
        <w:t>To achieve its goal of transparency, PCLOB has committed to ensuring that its work is available, relevant, and informative for the public, Congress, and other federal agencies. PCLOB’s statute requires it to hold public hearings and otherwise inform the public of its activities to the greatest extent</w:t>
      </w:r>
      <w:r w:rsidR="00DF387A">
        <w:rPr>
          <w:rFonts w:ascii="Cambria" w:eastAsia="Times New Roman" w:hAnsi="Cambria"/>
          <w:bCs/>
          <w:color w:val="000000"/>
          <w:sz w:val="24"/>
          <w:szCs w:val="24"/>
        </w:rPr>
        <w:t xml:space="preserve"> (as depicted in Figure </w:t>
      </w:r>
      <w:r w:rsidR="00633A70">
        <w:rPr>
          <w:rFonts w:ascii="Cambria" w:eastAsia="Times New Roman" w:hAnsi="Cambria"/>
          <w:bCs/>
          <w:color w:val="000000"/>
          <w:sz w:val="24"/>
          <w:szCs w:val="24"/>
        </w:rPr>
        <w:t>9</w:t>
      </w:r>
      <w:r w:rsidR="00DF387A">
        <w:rPr>
          <w:rFonts w:ascii="Cambria" w:eastAsia="Times New Roman" w:hAnsi="Cambria"/>
          <w:bCs/>
          <w:color w:val="000000"/>
          <w:sz w:val="24"/>
          <w:szCs w:val="24"/>
        </w:rPr>
        <w:t xml:space="preserve">, </w:t>
      </w:r>
      <w:r w:rsidR="00DF387A">
        <w:rPr>
          <w:rFonts w:ascii="Cambria" w:eastAsia="Times New Roman" w:hAnsi="Cambria"/>
          <w:bCs/>
          <w:i/>
          <w:iCs/>
          <w:color w:val="000000"/>
          <w:sz w:val="24"/>
          <w:szCs w:val="24"/>
        </w:rPr>
        <w:t xml:space="preserve">How PCLOB </w:t>
      </w:r>
      <w:r w:rsidR="00EE3EAB">
        <w:rPr>
          <w:rFonts w:ascii="Cambria" w:eastAsia="Times New Roman" w:hAnsi="Cambria"/>
          <w:bCs/>
          <w:i/>
          <w:iCs/>
          <w:color w:val="000000"/>
          <w:sz w:val="24"/>
          <w:szCs w:val="24"/>
        </w:rPr>
        <w:t>Promotes Transparency</w:t>
      </w:r>
      <w:r w:rsidR="00DF387A">
        <w:rPr>
          <w:rFonts w:ascii="Cambria" w:eastAsia="Times New Roman" w:hAnsi="Cambria"/>
          <w:bCs/>
          <w:i/>
          <w:iCs/>
          <w:color w:val="000000"/>
          <w:sz w:val="24"/>
          <w:szCs w:val="24"/>
        </w:rPr>
        <w:t>)</w:t>
      </w:r>
      <w:r w:rsidRPr="000C50CC">
        <w:rPr>
          <w:rFonts w:ascii="Cambria" w:eastAsia="Times New Roman" w:hAnsi="Cambria"/>
          <w:bCs/>
          <w:color w:val="000000"/>
          <w:sz w:val="24"/>
          <w:szCs w:val="24"/>
        </w:rPr>
        <w:t xml:space="preserve"> consistent with the protection of classified information and applicable law.</w:t>
      </w:r>
      <w:r w:rsidRPr="005430F9">
        <w:t xml:space="preserve"> </w:t>
      </w:r>
    </w:p>
    <w:p w14:paraId="7F4D4AE1" w14:textId="138E2C77" w:rsidR="00F91672" w:rsidRPr="005430F9" w:rsidRDefault="00F91672" w:rsidP="00F91672">
      <w:pPr>
        <w:spacing w:before="120"/>
        <w:jc w:val="both"/>
      </w:pPr>
      <w:r w:rsidRPr="000C50CC">
        <w:rPr>
          <w:rFonts w:ascii="Cambria" w:hAnsi="Cambria"/>
          <w:b/>
          <w:bCs/>
          <w:sz w:val="24"/>
          <w:szCs w:val="24"/>
        </w:rPr>
        <w:t xml:space="preserve">FY </w:t>
      </w:r>
      <w:r w:rsidR="0049075B">
        <w:rPr>
          <w:rFonts w:ascii="Cambria" w:hAnsi="Cambria"/>
          <w:b/>
          <w:bCs/>
          <w:sz w:val="24"/>
          <w:szCs w:val="24"/>
        </w:rPr>
        <w:t>2025</w:t>
      </w:r>
      <w:r w:rsidRPr="000C50CC">
        <w:rPr>
          <w:rFonts w:ascii="Cambria" w:hAnsi="Cambria"/>
          <w:b/>
          <w:bCs/>
          <w:sz w:val="24"/>
          <w:szCs w:val="24"/>
        </w:rPr>
        <w:t xml:space="preserve"> Accomplishments</w:t>
      </w:r>
      <w:r w:rsidRPr="005430F9">
        <w:t xml:space="preserve"> </w:t>
      </w:r>
    </w:p>
    <w:p w14:paraId="02912766" w14:textId="05832054" w:rsidR="00F91672" w:rsidRPr="002345D3" w:rsidRDefault="00F91672" w:rsidP="0019237F">
      <w:pPr>
        <w:numPr>
          <w:ilvl w:val="0"/>
          <w:numId w:val="9"/>
        </w:numPr>
        <w:spacing w:before="240" w:line="276" w:lineRule="auto"/>
        <w:jc w:val="both"/>
        <w:rPr>
          <w:rFonts w:ascii="Cambria" w:hAnsi="Cambria" w:cs="Calibri"/>
          <w:bCs/>
          <w:sz w:val="24"/>
          <w:szCs w:val="24"/>
        </w:rPr>
      </w:pPr>
      <w:r w:rsidRPr="000C50CC">
        <w:rPr>
          <w:rFonts w:ascii="Cambria" w:hAnsi="Cambria" w:cs="Calibri"/>
          <w:b/>
          <w:bCs/>
          <w:color w:val="201F1E"/>
          <w:sz w:val="24"/>
          <w:szCs w:val="24"/>
        </w:rPr>
        <w:t>Board Member Testimonies</w:t>
      </w:r>
      <w:r w:rsidR="009C24AA">
        <w:rPr>
          <w:rFonts w:ascii="Cambria" w:hAnsi="Cambria" w:cs="Calibri"/>
          <w:b/>
          <w:bCs/>
          <w:color w:val="201F1E"/>
          <w:sz w:val="24"/>
          <w:szCs w:val="24"/>
        </w:rPr>
        <w:t>/Briefings</w:t>
      </w:r>
      <w:r w:rsidRPr="000C50CC">
        <w:rPr>
          <w:rFonts w:ascii="Cambria" w:hAnsi="Cambria" w:cs="Calibri"/>
          <w:b/>
          <w:bCs/>
          <w:color w:val="201F1E"/>
          <w:sz w:val="24"/>
          <w:szCs w:val="24"/>
        </w:rPr>
        <w:t>.</w:t>
      </w:r>
      <w:r w:rsidRPr="000C50CC">
        <w:rPr>
          <w:rFonts w:ascii="Cambria" w:hAnsi="Cambria" w:cs="Calibri"/>
          <w:bCs/>
          <w:color w:val="201F1E"/>
          <w:sz w:val="24"/>
          <w:szCs w:val="24"/>
        </w:rPr>
        <w:t xml:space="preserve"> </w:t>
      </w:r>
    </w:p>
    <w:p w14:paraId="5848EDD4" w14:textId="2DBA3E4B" w:rsidR="00EE3EAB" w:rsidRDefault="00EE3EAB" w:rsidP="00EE3EAB">
      <w:pPr>
        <w:widowControl w:val="0"/>
        <w:numPr>
          <w:ilvl w:val="1"/>
          <w:numId w:val="9"/>
        </w:numPr>
        <w:spacing w:before="120" w:after="120" w:line="276" w:lineRule="auto"/>
        <w:ind w:left="1080"/>
        <w:jc w:val="both"/>
        <w:rPr>
          <w:rFonts w:ascii="Cambria" w:eastAsia="Times New Roman" w:hAnsi="Cambria"/>
          <w:bCs/>
          <w:color w:val="000000"/>
          <w:sz w:val="24"/>
          <w:szCs w:val="24"/>
        </w:rPr>
      </w:pPr>
      <w:r w:rsidRPr="00E65FAC">
        <w:rPr>
          <w:noProof/>
        </w:rPr>
        <w:drawing>
          <wp:anchor distT="0" distB="0" distL="114300" distR="114300" simplePos="0" relativeHeight="252136960" behindDoc="0" locked="0" layoutInCell="1" allowOverlap="1" wp14:anchorId="4EC349F3" wp14:editId="042BA1B7">
            <wp:simplePos x="0" y="0"/>
            <wp:positionH relativeFrom="column">
              <wp:posOffset>3004185</wp:posOffset>
            </wp:positionH>
            <wp:positionV relativeFrom="paragraph">
              <wp:posOffset>431899</wp:posOffset>
            </wp:positionV>
            <wp:extent cx="2938780" cy="3366135"/>
            <wp:effectExtent l="0" t="0" r="0" b="5715"/>
            <wp:wrapSquare wrapText="bothSides"/>
            <wp:docPr id="236415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5700" name="Picture 1"/>
                    <pic:cNvPicPr/>
                  </pic:nvPicPr>
                  <pic:blipFill rotWithShape="1">
                    <a:blip r:embed="rId72" cstate="print">
                      <a:extLst>
                        <a:ext uri="{28A0092B-C50C-407E-A947-70E740481C1C}">
                          <a14:useLocalDpi xmlns:a14="http://schemas.microsoft.com/office/drawing/2010/main" val="0"/>
                        </a:ext>
                      </a:extLst>
                    </a:blip>
                    <a:srcRect l="1380" t="1199" r="1042" b="1698"/>
                    <a:stretch>
                      <a:fillRect/>
                    </a:stretch>
                  </pic:blipFill>
                  <pic:spPr bwMode="auto">
                    <a:xfrm>
                      <a:off x="0" y="0"/>
                      <a:ext cx="2938780" cy="3366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AC8">
        <w:rPr>
          <w:rFonts w:ascii="Cambria" w:eastAsia="Times New Roman" w:hAnsi="Cambria"/>
          <w:bCs/>
          <w:color w:val="000000"/>
          <w:sz w:val="24"/>
          <w:szCs w:val="24"/>
        </w:rPr>
        <w:t>I</w:t>
      </w:r>
      <w:r w:rsidR="00237AC8" w:rsidRPr="009F2794">
        <w:rPr>
          <w:rFonts w:ascii="Cambria" w:eastAsia="Times New Roman" w:hAnsi="Cambria"/>
          <w:bCs/>
          <w:color w:val="000000"/>
          <w:sz w:val="24"/>
          <w:szCs w:val="24"/>
        </w:rPr>
        <w:t>n March 2025, Member</w:t>
      </w:r>
      <w:r w:rsidR="00237AC8">
        <w:rPr>
          <w:rFonts w:ascii="Cambria" w:eastAsia="Times New Roman" w:hAnsi="Cambria"/>
          <w:bCs/>
          <w:color w:val="000000"/>
          <w:sz w:val="24"/>
          <w:szCs w:val="24"/>
        </w:rPr>
        <w:t xml:space="preserve"> </w:t>
      </w:r>
      <w:r w:rsidR="00237AC8" w:rsidRPr="009F2794">
        <w:rPr>
          <w:rFonts w:ascii="Cambria" w:eastAsia="Times New Roman" w:hAnsi="Cambria"/>
          <w:bCs/>
          <w:color w:val="000000"/>
          <w:sz w:val="24"/>
          <w:szCs w:val="24"/>
        </w:rPr>
        <w:t xml:space="preserve">Williams met with Michael McGrath, the </w:t>
      </w:r>
      <w:r w:rsidR="005F366C">
        <w:rPr>
          <w:rFonts w:ascii="Cambria" w:eastAsia="Times New Roman" w:hAnsi="Cambria"/>
          <w:bCs/>
          <w:color w:val="000000"/>
          <w:sz w:val="24"/>
          <w:szCs w:val="24"/>
        </w:rPr>
        <w:t>European</w:t>
      </w:r>
      <w:r w:rsidR="004F08BD">
        <w:rPr>
          <w:rFonts w:ascii="Cambria" w:eastAsia="Times New Roman" w:hAnsi="Cambria"/>
          <w:bCs/>
          <w:color w:val="000000"/>
          <w:sz w:val="24"/>
          <w:szCs w:val="24"/>
        </w:rPr>
        <w:t xml:space="preserve"> Union (</w:t>
      </w:r>
      <w:r w:rsidR="00237AC8" w:rsidRPr="009F2794">
        <w:rPr>
          <w:rFonts w:ascii="Cambria" w:eastAsia="Times New Roman" w:hAnsi="Cambria"/>
          <w:bCs/>
          <w:color w:val="000000"/>
          <w:sz w:val="24"/>
          <w:szCs w:val="24"/>
        </w:rPr>
        <w:t>EU</w:t>
      </w:r>
      <w:r w:rsidR="004F08BD">
        <w:rPr>
          <w:rFonts w:ascii="Cambria" w:eastAsia="Times New Roman" w:hAnsi="Cambria"/>
          <w:bCs/>
          <w:color w:val="000000"/>
          <w:sz w:val="24"/>
          <w:szCs w:val="24"/>
        </w:rPr>
        <w:t>)</w:t>
      </w:r>
      <w:r w:rsidR="00237AC8" w:rsidRPr="009F2794">
        <w:rPr>
          <w:rFonts w:ascii="Cambria" w:eastAsia="Times New Roman" w:hAnsi="Cambria"/>
          <w:bCs/>
          <w:color w:val="000000"/>
          <w:sz w:val="24"/>
          <w:szCs w:val="24"/>
        </w:rPr>
        <w:t xml:space="preserve"> Commissioner for Democracy, Justice, the Rule of Law and Consumer Protection</w:t>
      </w:r>
      <w:r w:rsidR="00852464">
        <w:rPr>
          <w:rFonts w:ascii="Cambria" w:eastAsia="Times New Roman" w:hAnsi="Cambria"/>
          <w:bCs/>
          <w:color w:val="000000"/>
          <w:sz w:val="24"/>
          <w:szCs w:val="24"/>
        </w:rPr>
        <w:t>,</w:t>
      </w:r>
      <w:r w:rsidR="00237AC8" w:rsidRPr="009F2794">
        <w:rPr>
          <w:rFonts w:ascii="Cambria" w:eastAsia="Times New Roman" w:hAnsi="Cambria"/>
          <w:bCs/>
          <w:color w:val="000000"/>
          <w:sz w:val="24"/>
          <w:szCs w:val="24"/>
        </w:rPr>
        <w:t xml:space="preserve"> to discuss PCLOB’s role under </w:t>
      </w:r>
      <w:r>
        <w:rPr>
          <w:rFonts w:ascii="Cambria" w:eastAsia="Times New Roman" w:hAnsi="Cambria"/>
          <w:bCs/>
          <w:color w:val="000000"/>
          <w:sz w:val="24"/>
          <w:szCs w:val="24"/>
        </w:rPr>
        <w:t>EO</w:t>
      </w:r>
      <w:r w:rsidR="00237AC8" w:rsidRPr="009F2794">
        <w:rPr>
          <w:rFonts w:ascii="Cambria" w:eastAsia="Times New Roman" w:hAnsi="Cambria"/>
          <w:bCs/>
          <w:color w:val="000000"/>
          <w:sz w:val="24"/>
          <w:szCs w:val="24"/>
        </w:rPr>
        <w:t xml:space="preserve"> 14086 in ensuring safeguards for cross-border data flows under the EU-U.S. Data Privacy Framework.</w:t>
      </w:r>
    </w:p>
    <w:p w14:paraId="79321718" w14:textId="0CE53093" w:rsidR="00EE3EAB" w:rsidRDefault="00EE3EAB" w:rsidP="00EE3EAB">
      <w:pPr>
        <w:widowControl w:val="0"/>
        <w:numPr>
          <w:ilvl w:val="1"/>
          <w:numId w:val="9"/>
        </w:numPr>
        <w:spacing w:before="120" w:after="120" w:line="276" w:lineRule="auto"/>
        <w:ind w:left="1080"/>
        <w:jc w:val="both"/>
        <w:rPr>
          <w:rFonts w:ascii="Cambria" w:eastAsia="Times New Roman" w:hAnsi="Cambria"/>
          <w:bCs/>
          <w:color w:val="000000"/>
          <w:sz w:val="24"/>
          <w:szCs w:val="24"/>
        </w:rPr>
      </w:pPr>
      <w:r>
        <w:rPr>
          <w:rFonts w:ascii="Cambria" w:eastAsia="Times New Roman" w:hAnsi="Cambria"/>
          <w:bCs/>
          <w:color w:val="000000"/>
          <w:sz w:val="24"/>
          <w:szCs w:val="24"/>
        </w:rPr>
        <w:t xml:space="preserve">In April </w:t>
      </w:r>
      <w:r w:rsidRPr="009F2794">
        <w:rPr>
          <w:rFonts w:ascii="Cambria" w:eastAsia="Times New Roman" w:hAnsi="Cambria"/>
          <w:bCs/>
          <w:color w:val="000000"/>
          <w:sz w:val="24"/>
          <w:szCs w:val="24"/>
        </w:rPr>
        <w:t xml:space="preserve">2025, Member Williams met with Professor Dr. Louisa Specht-Riemenschneider, Germany’s Federal Commissioner for Data Protection and Freedom of Information. Among other things, they discussed PCLOB’s role under </w:t>
      </w:r>
      <w:r>
        <w:rPr>
          <w:rFonts w:ascii="Cambria" w:eastAsia="Times New Roman" w:hAnsi="Cambria"/>
          <w:bCs/>
          <w:color w:val="000000"/>
          <w:sz w:val="24"/>
          <w:szCs w:val="24"/>
        </w:rPr>
        <w:t>EO</w:t>
      </w:r>
      <w:r w:rsidRPr="009F2794">
        <w:rPr>
          <w:rFonts w:ascii="Cambria" w:eastAsia="Times New Roman" w:hAnsi="Cambria"/>
          <w:bCs/>
          <w:color w:val="000000"/>
          <w:sz w:val="24"/>
          <w:szCs w:val="24"/>
        </w:rPr>
        <w:t xml:space="preserve"> 14086 in ensuring safeguards for cross-border data flows under the EU-U.S. Data Privacy Framework.</w:t>
      </w:r>
    </w:p>
    <w:p w14:paraId="569FF3F5" w14:textId="1601B7BA" w:rsidR="00EE3EAB" w:rsidRDefault="00EE3EAB" w:rsidP="00EE3EAB">
      <w:pPr>
        <w:widowControl w:val="0"/>
        <w:numPr>
          <w:ilvl w:val="1"/>
          <w:numId w:val="9"/>
        </w:numPr>
        <w:spacing w:before="120" w:after="120" w:line="276" w:lineRule="auto"/>
        <w:ind w:left="1080"/>
        <w:jc w:val="both"/>
        <w:rPr>
          <w:rFonts w:ascii="Cambria" w:eastAsia="Times New Roman" w:hAnsi="Cambria"/>
          <w:bCs/>
          <w:color w:val="000000"/>
          <w:sz w:val="24"/>
          <w:szCs w:val="24"/>
        </w:rPr>
      </w:pPr>
      <w:r>
        <w:rPr>
          <w:rFonts w:ascii="Cambria" w:eastAsia="Times New Roman" w:hAnsi="Cambria"/>
          <w:bCs/>
          <w:color w:val="000000"/>
          <w:sz w:val="24"/>
          <w:szCs w:val="24"/>
        </w:rPr>
        <w:t>Member Williams met with Representative Jay Obernolte (R-CA) in July 2025 to discuss the bipartisan AI Task Force</w:t>
      </w:r>
      <w:r w:rsidR="00B60166">
        <w:rPr>
          <w:rFonts w:ascii="Cambria" w:eastAsia="Times New Roman" w:hAnsi="Cambria"/>
          <w:bCs/>
          <w:color w:val="000000"/>
          <w:sz w:val="24"/>
          <w:szCs w:val="24"/>
        </w:rPr>
        <w:t>,</w:t>
      </w:r>
      <w:r>
        <w:rPr>
          <w:rFonts w:ascii="Cambria" w:eastAsia="Times New Roman" w:hAnsi="Cambria"/>
          <w:bCs/>
          <w:color w:val="000000"/>
          <w:sz w:val="24"/>
          <w:szCs w:val="24"/>
        </w:rPr>
        <w:t xml:space="preserve"> </w:t>
      </w:r>
      <w:r w:rsidR="00335ADA">
        <w:rPr>
          <w:rFonts w:ascii="Cambria" w:eastAsia="Times New Roman" w:hAnsi="Cambria"/>
          <w:bCs/>
          <w:color w:val="000000"/>
          <w:sz w:val="24"/>
          <w:szCs w:val="24"/>
        </w:rPr>
        <w:t>c</w:t>
      </w:r>
      <w:r>
        <w:rPr>
          <w:rFonts w:ascii="Cambria" w:eastAsia="Times New Roman" w:hAnsi="Cambria"/>
          <w:bCs/>
          <w:color w:val="000000"/>
          <w:sz w:val="24"/>
          <w:szCs w:val="24"/>
        </w:rPr>
        <w:t>ongressional priorities related to AI, and AI implications on national security.</w:t>
      </w:r>
    </w:p>
    <w:p w14:paraId="3669DAD8" w14:textId="5A48C79D" w:rsidR="00EE3EAB" w:rsidRPr="0019237F" w:rsidRDefault="00EE3EAB" w:rsidP="0019237F">
      <w:pPr>
        <w:pStyle w:val="ListParagraph"/>
        <w:numPr>
          <w:ilvl w:val="0"/>
          <w:numId w:val="66"/>
        </w:numPr>
        <w:spacing w:after="120" w:line="276" w:lineRule="auto"/>
        <w:ind w:left="720"/>
        <w:jc w:val="both"/>
        <w:rPr>
          <w:rFonts w:ascii="Cambria" w:eastAsia="Times New Roman" w:hAnsi="Cambria"/>
          <w:bCs/>
          <w:color w:val="000000"/>
          <w:sz w:val="24"/>
          <w:szCs w:val="24"/>
        </w:rPr>
      </w:pPr>
      <w:r>
        <w:rPr>
          <w:noProof/>
        </w:rPr>
        <w:lastRenderedPageBreak/>
        <w:drawing>
          <wp:anchor distT="0" distB="0" distL="114300" distR="114300" simplePos="0" relativeHeight="252139008" behindDoc="1" locked="0" layoutInCell="1" allowOverlap="1" wp14:anchorId="5DBA3C4E" wp14:editId="1C69466C">
            <wp:simplePos x="0" y="0"/>
            <wp:positionH relativeFrom="column">
              <wp:posOffset>3952875</wp:posOffset>
            </wp:positionH>
            <wp:positionV relativeFrom="paragraph">
              <wp:posOffset>69215</wp:posOffset>
            </wp:positionV>
            <wp:extent cx="2114550" cy="2343150"/>
            <wp:effectExtent l="57150" t="57150" r="95250" b="95250"/>
            <wp:wrapTight wrapText="bothSides">
              <wp:wrapPolygon edited="0">
                <wp:start x="-584" y="-527"/>
                <wp:lineTo x="-389" y="22302"/>
                <wp:lineTo x="22378" y="22302"/>
                <wp:lineTo x="22378" y="-527"/>
                <wp:lineTo x="-584" y="-527"/>
              </wp:wrapPolygon>
            </wp:wrapTight>
            <wp:docPr id="180668125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81258" name="Picture 86"/>
                    <pic:cNvPicPr>
                      <a:picLocks noChangeAspect="1" noChangeArrowheads="1"/>
                    </pic:cNvPicPr>
                  </pic:nvPicPr>
                  <pic:blipFill rotWithShape="1">
                    <a:blip r:embed="rId73">
                      <a:extLst>
                        <a:ext uri="{28A0092B-C50C-407E-A947-70E740481C1C}">
                          <a14:useLocalDpi xmlns:a14="http://schemas.microsoft.com/office/drawing/2010/main" val="0"/>
                        </a:ext>
                      </a:extLst>
                    </a:blip>
                    <a:srcRect l="9964" r="5737" b="20130"/>
                    <a:stretch>
                      <a:fillRect/>
                    </a:stretch>
                  </pic:blipFill>
                  <pic:spPr bwMode="auto">
                    <a:xfrm>
                      <a:off x="0" y="0"/>
                      <a:ext cx="2114550" cy="234315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237F">
        <w:rPr>
          <w:rFonts w:ascii="Cambria" w:eastAsia="Times New Roman" w:hAnsi="Cambria"/>
          <w:b/>
          <w:bCs/>
          <w:color w:val="000000"/>
          <w:sz w:val="24"/>
          <w:szCs w:val="24"/>
        </w:rPr>
        <w:t xml:space="preserve">Participation in Outside Events. </w:t>
      </w:r>
      <w:r w:rsidRPr="0019237F">
        <w:rPr>
          <w:rFonts w:ascii="Cambria" w:eastAsia="Times New Roman" w:hAnsi="Cambria"/>
          <w:color w:val="000000"/>
          <w:sz w:val="24"/>
          <w:szCs w:val="24"/>
        </w:rPr>
        <w:t>Board Member</w:t>
      </w:r>
      <w:r w:rsidRPr="0019237F">
        <w:rPr>
          <w:rFonts w:ascii="Cambria" w:eastAsia="Times New Roman" w:hAnsi="Cambria"/>
          <w:b/>
          <w:bCs/>
          <w:color w:val="000000"/>
          <w:sz w:val="24"/>
          <w:szCs w:val="24"/>
        </w:rPr>
        <w:t xml:space="preserve"> </w:t>
      </w:r>
      <w:r w:rsidRPr="0019237F">
        <w:rPr>
          <w:rFonts w:ascii="Cambria" w:eastAsia="Times New Roman" w:hAnsi="Cambria"/>
          <w:bCs/>
          <w:color w:val="000000"/>
          <w:sz w:val="24"/>
          <w:szCs w:val="24"/>
        </w:rPr>
        <w:t xml:space="preserve">involvement in events hosted by other government agencies and organizations included the following: </w:t>
      </w:r>
    </w:p>
    <w:p w14:paraId="15FD6836" w14:textId="0CD01512" w:rsidR="00EE3EAB" w:rsidRDefault="00EE3EAB" w:rsidP="00EE3EAB">
      <w:pPr>
        <w:widowControl w:val="0"/>
        <w:numPr>
          <w:ilvl w:val="1"/>
          <w:numId w:val="9"/>
        </w:numPr>
        <w:spacing w:before="120" w:after="120" w:line="276" w:lineRule="auto"/>
        <w:ind w:left="1080"/>
        <w:jc w:val="both"/>
        <w:rPr>
          <w:rFonts w:ascii="Cambria" w:eastAsia="Times New Roman" w:hAnsi="Cambria"/>
          <w:bCs/>
          <w:color w:val="000000"/>
          <w:sz w:val="24"/>
          <w:szCs w:val="24"/>
        </w:rPr>
      </w:pPr>
      <w:r>
        <w:rPr>
          <w:rFonts w:ascii="Cambria" w:eastAsia="Times New Roman" w:hAnsi="Cambria"/>
          <w:bCs/>
          <w:color w:val="000000"/>
          <w:sz w:val="24"/>
          <w:szCs w:val="24"/>
        </w:rPr>
        <w:t>In February 2025, Member Williams delivered a keynote address about PCLOB’s mission, current projects, and path forward at the State of the Net Conference, hosted by the Internet Education Foundation.</w:t>
      </w:r>
    </w:p>
    <w:p w14:paraId="593F5FBD" w14:textId="44388348" w:rsidR="00EE3EAB" w:rsidRDefault="003B2EB4" w:rsidP="0019237F">
      <w:pPr>
        <w:widowControl w:val="0"/>
        <w:numPr>
          <w:ilvl w:val="1"/>
          <w:numId w:val="9"/>
        </w:numPr>
        <w:spacing w:before="120" w:after="120" w:line="276" w:lineRule="auto"/>
        <w:ind w:left="1080"/>
        <w:jc w:val="both"/>
        <w:rPr>
          <w:rFonts w:ascii="Cambria" w:eastAsia="Times New Roman" w:hAnsi="Cambria"/>
          <w:bCs/>
          <w:color w:val="000000"/>
          <w:sz w:val="24"/>
          <w:szCs w:val="24"/>
        </w:rPr>
      </w:pPr>
      <w:r>
        <w:rPr>
          <w:noProof/>
        </w:rPr>
        <mc:AlternateContent>
          <mc:Choice Requires="wps">
            <w:drawing>
              <wp:anchor distT="0" distB="0" distL="114300" distR="114300" simplePos="0" relativeHeight="252149248" behindDoc="0" locked="0" layoutInCell="1" allowOverlap="1" wp14:anchorId="41B2632E" wp14:editId="2F68AA77">
                <wp:simplePos x="0" y="0"/>
                <wp:positionH relativeFrom="margin">
                  <wp:posOffset>3886200</wp:posOffset>
                </wp:positionH>
                <wp:positionV relativeFrom="paragraph">
                  <wp:posOffset>615950</wp:posOffset>
                </wp:positionV>
                <wp:extent cx="2295525" cy="733425"/>
                <wp:effectExtent l="0" t="0" r="0" b="9525"/>
                <wp:wrapSquare wrapText="bothSides"/>
                <wp:docPr id="54043567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D7B687D" w14:textId="034E11AE" w:rsidR="0087715B" w:rsidRPr="00AD7A93" w:rsidRDefault="0087715B" w:rsidP="0087715B">
                            <w:pPr>
                              <w:jc w:val="both"/>
                              <w:rPr>
                                <w:rFonts w:ascii="Cambria" w:hAnsi="Cambria"/>
                                <w:i/>
                                <w:iCs/>
                                <w:sz w:val="16"/>
                                <w:szCs w:val="16"/>
                              </w:rPr>
                            </w:pPr>
                            <w:r w:rsidRPr="00AD7A93">
                              <w:rPr>
                                <w:rFonts w:ascii="Cambria" w:hAnsi="Cambria"/>
                                <w:i/>
                                <w:iCs/>
                                <w:sz w:val="16"/>
                                <w:szCs w:val="16"/>
                              </w:rPr>
                              <w:t>A</w:t>
                            </w:r>
                            <w:r>
                              <w:rPr>
                                <w:rFonts w:ascii="Cambria" w:hAnsi="Cambria"/>
                                <w:i/>
                                <w:iCs/>
                                <w:sz w:val="16"/>
                                <w:szCs w:val="16"/>
                              </w:rPr>
                              <w:t>bove</w:t>
                            </w:r>
                            <w:r w:rsidRPr="00AD7A93">
                              <w:rPr>
                                <w:rFonts w:ascii="Cambria" w:hAnsi="Cambria"/>
                                <w:i/>
                                <w:iCs/>
                                <w:sz w:val="16"/>
                                <w:szCs w:val="16"/>
                              </w:rPr>
                              <w:t xml:space="preserve">: </w:t>
                            </w:r>
                            <w:r>
                              <w:rPr>
                                <w:rFonts w:ascii="Cambria" w:hAnsi="Cambria"/>
                                <w:i/>
                                <w:iCs/>
                                <w:sz w:val="16"/>
                                <w:szCs w:val="16"/>
                              </w:rPr>
                              <w:t xml:space="preserve">Member Beth A. Williams </w:t>
                            </w:r>
                            <w:r w:rsidR="00C65035" w:rsidRPr="00C65035">
                              <w:rPr>
                                <w:rFonts w:ascii="Cambria" w:hAnsi="Cambria"/>
                                <w:i/>
                                <w:iCs/>
                                <w:sz w:val="16"/>
                                <w:szCs w:val="16"/>
                              </w:rPr>
                              <w:t>met with Professor Dr. Louisa Specht-Riemenschneider, Germany’s Federal Commissioner for Data Protection and Freedom of Information</w:t>
                            </w:r>
                            <w:r w:rsidR="003B2EB4">
                              <w:rPr>
                                <w:rFonts w:ascii="Cambria" w:hAnsi="Cambria"/>
                                <w:i/>
                                <w:iCs/>
                                <w:sz w:val="16"/>
                                <w:szCs w:val="16"/>
                              </w:rPr>
                              <w:t xml:space="preserve"> on April 21, 2025.</w:t>
                            </w:r>
                            <w:r>
                              <w:rPr>
                                <w:rFonts w:ascii="Cambria" w:hAnsi="Cambria"/>
                                <w:i/>
                                <w:iCs/>
                                <w:sz w:val="16"/>
                                <w:szCs w:val="16"/>
                              </w:rPr>
                              <w:t xml:space="preserve"> </w:t>
                            </w:r>
                            <w:r w:rsidRPr="00AD7A93">
                              <w:rPr>
                                <w:rFonts w:ascii="Cambria" w:hAnsi="Cambria"/>
                                <w:i/>
                                <w:iCs/>
                                <w:sz w:val="16"/>
                                <w:szCs w:val="16"/>
                              </w:rPr>
                              <w:t>Phot</w:t>
                            </w:r>
                            <w:r>
                              <w:rPr>
                                <w:rFonts w:ascii="Cambria" w:hAnsi="Cambria"/>
                                <w:i/>
                                <w:iCs/>
                                <w:sz w:val="16"/>
                                <w:szCs w:val="16"/>
                              </w:rPr>
                              <w:t>o</w:t>
                            </w:r>
                            <w:r w:rsidRPr="00AD7A93">
                              <w:rPr>
                                <w:rFonts w:ascii="Cambria" w:hAnsi="Cambria"/>
                                <w:i/>
                                <w:iCs/>
                                <w:sz w:val="16"/>
                                <w:szCs w:val="16"/>
                              </w:rPr>
                              <w:t xml:space="preserve"> credit: PCLOB/</w:t>
                            </w:r>
                            <w:r>
                              <w:rPr>
                                <w:rFonts w:ascii="Cambria" w:hAnsi="Cambria"/>
                                <w:i/>
                                <w:iCs/>
                                <w:sz w:val="16"/>
                                <w:szCs w:val="16"/>
                              </w:rPr>
                              <w:t>Alan Silverleib</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41B2632E" id="_x0000_s1035" type="#_x0000_t202" style="position:absolute;left:0;text-align:left;margin-left:306pt;margin-top:48.5pt;width:180.75pt;height:57.75pt;z-index:2521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" filled="f" stroked="f" strokeweight="1pt">
                <v:textbox>
                  <w:txbxContent>
                    <w:p w14:paraId="6D7B687D" w14:textId="034E11AE" w:rsidR="0087715B" w:rsidRPr="00AD7A93" w:rsidRDefault="0087715B" w:rsidP="0087715B">
                      <w:pPr>
                        <w:jc w:val="both"/>
                        <w:rPr>
                          <w:rFonts w:ascii="Cambria" w:hAnsi="Cambria"/>
                          <w:i/>
                          <w:iCs/>
                          <w:sz w:val="16"/>
                          <w:szCs w:val="16"/>
                        </w:rPr>
                      </w:pPr>
                      <w:r w:rsidRPr="00AD7A93">
                        <w:rPr>
                          <w:rFonts w:ascii="Cambria" w:hAnsi="Cambria"/>
                          <w:i/>
                          <w:iCs/>
                          <w:sz w:val="16"/>
                          <w:szCs w:val="16"/>
                        </w:rPr>
                        <w:t>A</w:t>
                      </w:r>
                      <w:r>
                        <w:rPr>
                          <w:rFonts w:ascii="Cambria" w:hAnsi="Cambria"/>
                          <w:i/>
                          <w:iCs/>
                          <w:sz w:val="16"/>
                          <w:szCs w:val="16"/>
                        </w:rPr>
                        <w:t>bove</w:t>
                      </w:r>
                      <w:r w:rsidRPr="00AD7A93">
                        <w:rPr>
                          <w:rFonts w:ascii="Cambria" w:hAnsi="Cambria"/>
                          <w:i/>
                          <w:iCs/>
                          <w:sz w:val="16"/>
                          <w:szCs w:val="16"/>
                        </w:rPr>
                        <w:t xml:space="preserve">: </w:t>
                      </w:r>
                      <w:r>
                        <w:rPr>
                          <w:rFonts w:ascii="Cambria" w:hAnsi="Cambria"/>
                          <w:i/>
                          <w:iCs/>
                          <w:sz w:val="16"/>
                          <w:szCs w:val="16"/>
                        </w:rPr>
                        <w:t xml:space="preserve">Member Beth A. Williams </w:t>
                      </w:r>
                      <w:r w:rsidR="00C65035" w:rsidRPr="00C65035">
                        <w:rPr>
                          <w:rFonts w:ascii="Cambria" w:hAnsi="Cambria"/>
                          <w:i/>
                          <w:iCs/>
                          <w:sz w:val="16"/>
                          <w:szCs w:val="16"/>
                        </w:rPr>
                        <w:t>met with Professor Dr. Louisa Specht-Riemenschneider, Germany’s Federal Commissioner for Data Protection and Freedom of Information</w:t>
                      </w:r>
                      <w:r w:rsidR="003B2EB4">
                        <w:rPr>
                          <w:rFonts w:ascii="Cambria" w:hAnsi="Cambria"/>
                          <w:i/>
                          <w:iCs/>
                          <w:sz w:val="16"/>
                          <w:szCs w:val="16"/>
                        </w:rPr>
                        <w:t xml:space="preserve"> on April 21, 2025.</w:t>
                      </w:r>
                      <w:r>
                        <w:rPr>
                          <w:rFonts w:ascii="Cambria" w:hAnsi="Cambria"/>
                          <w:i/>
                          <w:iCs/>
                          <w:sz w:val="16"/>
                          <w:szCs w:val="16"/>
                        </w:rPr>
                        <w:t xml:space="preserve"> </w:t>
                      </w:r>
                      <w:r w:rsidRPr="00AD7A93">
                        <w:rPr>
                          <w:rFonts w:ascii="Cambria" w:hAnsi="Cambria"/>
                          <w:i/>
                          <w:iCs/>
                          <w:sz w:val="16"/>
                          <w:szCs w:val="16"/>
                        </w:rPr>
                        <w:t>Phot</w:t>
                      </w:r>
                      <w:r>
                        <w:rPr>
                          <w:rFonts w:ascii="Cambria" w:hAnsi="Cambria"/>
                          <w:i/>
                          <w:iCs/>
                          <w:sz w:val="16"/>
                          <w:szCs w:val="16"/>
                        </w:rPr>
                        <w:t>o</w:t>
                      </w:r>
                      <w:r w:rsidRPr="00AD7A93">
                        <w:rPr>
                          <w:rFonts w:ascii="Cambria" w:hAnsi="Cambria"/>
                          <w:i/>
                          <w:iCs/>
                          <w:sz w:val="16"/>
                          <w:szCs w:val="16"/>
                        </w:rPr>
                        <w:t xml:space="preserve"> credit: PCLOB/</w:t>
                      </w:r>
                      <w:r>
                        <w:rPr>
                          <w:rFonts w:ascii="Cambria" w:hAnsi="Cambria"/>
                          <w:i/>
                          <w:iCs/>
                          <w:sz w:val="16"/>
                          <w:szCs w:val="16"/>
                        </w:rPr>
                        <w:t>Alan Silverleib</w:t>
                      </w:r>
                    </w:p>
                  </w:txbxContent>
                </v:textbox>
                <w10:wrap type="square" anchorx="margin"/>
              </v:shape>
            </w:pict>
          </mc:Fallback>
        </mc:AlternateContent>
      </w:r>
      <w:r w:rsidR="00EE3EAB">
        <w:rPr>
          <w:rFonts w:ascii="Cambria" w:eastAsia="Times New Roman" w:hAnsi="Cambria"/>
          <w:bCs/>
          <w:color w:val="000000"/>
          <w:sz w:val="24"/>
          <w:szCs w:val="24"/>
        </w:rPr>
        <w:t>In April 2025, Member Williams led a government-to-government meeting of international Data Protection Authorities as part of the International Association of Privacy Professionals’ annual Global Privacy Summit.</w:t>
      </w:r>
    </w:p>
    <w:p w14:paraId="024897EC" w14:textId="7E6D5A92" w:rsidR="009C24AA" w:rsidRPr="00EE3EAB" w:rsidRDefault="00F91672" w:rsidP="00EE3EAB">
      <w:pPr>
        <w:keepNext/>
        <w:keepLines/>
        <w:numPr>
          <w:ilvl w:val="0"/>
          <w:numId w:val="9"/>
        </w:numPr>
        <w:spacing w:before="240" w:after="120" w:line="276" w:lineRule="auto"/>
        <w:jc w:val="both"/>
        <w:rPr>
          <w:rFonts w:ascii="Cambria" w:eastAsia="Times New Roman" w:hAnsi="Cambria"/>
          <w:bCs/>
          <w:color w:val="000000"/>
          <w:sz w:val="24"/>
          <w:szCs w:val="24"/>
        </w:rPr>
      </w:pPr>
      <w:r w:rsidRPr="00237AC8">
        <w:rPr>
          <w:rFonts w:ascii="Cambria" w:eastAsia="Times New Roman" w:hAnsi="Cambria"/>
          <w:b/>
          <w:color w:val="000000"/>
          <w:sz w:val="24"/>
          <w:szCs w:val="24"/>
        </w:rPr>
        <w:t>Staff Briefings</w:t>
      </w:r>
      <w:r w:rsidR="009C24AA" w:rsidRPr="00237AC8">
        <w:rPr>
          <w:rFonts w:ascii="Cambria" w:eastAsia="Times New Roman" w:hAnsi="Cambria"/>
          <w:b/>
          <w:color w:val="000000"/>
          <w:sz w:val="24"/>
          <w:szCs w:val="24"/>
        </w:rPr>
        <w:t>/Engagements</w:t>
      </w:r>
      <w:r w:rsidRPr="00237AC8">
        <w:rPr>
          <w:rFonts w:ascii="Cambria" w:eastAsia="Times New Roman" w:hAnsi="Cambria"/>
          <w:b/>
          <w:color w:val="000000"/>
          <w:sz w:val="24"/>
          <w:szCs w:val="24"/>
        </w:rPr>
        <w:t>.</w:t>
      </w:r>
    </w:p>
    <w:p w14:paraId="7310AED4" w14:textId="339FD651" w:rsidR="00EE3EAB" w:rsidRDefault="00EE3EAB" w:rsidP="00EE3EAB">
      <w:pPr>
        <w:numPr>
          <w:ilvl w:val="0"/>
          <w:numId w:val="43"/>
        </w:numPr>
        <w:spacing w:after="120" w:line="276" w:lineRule="auto"/>
        <w:ind w:left="1080"/>
        <w:jc w:val="both"/>
        <w:rPr>
          <w:rFonts w:ascii="Cambria" w:eastAsia="Times New Roman" w:hAnsi="Cambria"/>
          <w:bCs/>
          <w:color w:val="000000"/>
          <w:sz w:val="24"/>
          <w:szCs w:val="24"/>
        </w:rPr>
      </w:pPr>
      <w:r>
        <w:rPr>
          <w:rFonts w:ascii="Cambria" w:eastAsia="Times New Roman" w:hAnsi="Cambria"/>
          <w:bCs/>
          <w:color w:val="000000"/>
          <w:sz w:val="24"/>
          <w:szCs w:val="24"/>
        </w:rPr>
        <w:t xml:space="preserve">In February 2025, </w:t>
      </w:r>
      <w:r w:rsidRPr="00EE3EAB">
        <w:rPr>
          <w:rFonts w:ascii="Cambria" w:eastAsia="Times New Roman" w:hAnsi="Cambria"/>
          <w:bCs/>
          <w:color w:val="000000"/>
          <w:sz w:val="24"/>
          <w:szCs w:val="24"/>
        </w:rPr>
        <w:t>PCLOB staff presented the findings of its Terrorist Watchlist report to Senate Homeland Security and Governmental Affairs Committee staff.</w:t>
      </w:r>
      <w:r>
        <w:rPr>
          <w:rFonts w:ascii="Cambria" w:eastAsia="Times New Roman" w:hAnsi="Cambria"/>
          <w:bCs/>
          <w:color w:val="000000"/>
          <w:sz w:val="24"/>
          <w:szCs w:val="24"/>
        </w:rPr>
        <w:t xml:space="preserve"> </w:t>
      </w:r>
    </w:p>
    <w:p w14:paraId="610C00B2" w14:textId="7F5820F6" w:rsidR="001D3AAF" w:rsidRDefault="001D3AAF" w:rsidP="00EE3EAB">
      <w:pPr>
        <w:numPr>
          <w:ilvl w:val="0"/>
          <w:numId w:val="43"/>
        </w:numPr>
        <w:spacing w:after="120" w:line="276" w:lineRule="auto"/>
        <w:ind w:left="1080"/>
        <w:jc w:val="both"/>
        <w:rPr>
          <w:rFonts w:ascii="Cambria" w:eastAsia="Times New Roman" w:hAnsi="Cambria"/>
          <w:bCs/>
          <w:color w:val="000000"/>
          <w:sz w:val="24"/>
          <w:szCs w:val="24"/>
        </w:rPr>
      </w:pPr>
      <w:bookmarkStart w:id="75" w:name="_Hlk213845344"/>
      <w:r>
        <w:rPr>
          <w:rFonts w:ascii="Cambria" w:eastAsia="Times New Roman" w:hAnsi="Cambria"/>
          <w:bCs/>
          <w:color w:val="000000"/>
          <w:sz w:val="24"/>
          <w:szCs w:val="24"/>
        </w:rPr>
        <w:t xml:space="preserve">In May 2025, PCLOB staff briefed </w:t>
      </w:r>
      <w:r w:rsidR="006E7AA4">
        <w:rPr>
          <w:rFonts w:ascii="Cambria" w:eastAsia="Times New Roman" w:hAnsi="Cambria"/>
          <w:bCs/>
          <w:color w:val="000000"/>
          <w:sz w:val="24"/>
          <w:szCs w:val="24"/>
        </w:rPr>
        <w:t xml:space="preserve">staff from the office of </w:t>
      </w:r>
      <w:r>
        <w:rPr>
          <w:rFonts w:ascii="Cambria" w:eastAsia="Times New Roman" w:hAnsi="Cambria"/>
          <w:bCs/>
          <w:color w:val="000000"/>
          <w:sz w:val="24"/>
          <w:szCs w:val="24"/>
        </w:rPr>
        <w:t xml:space="preserve">Senator Jeff Merkley (D-OR) on the details of the agency’s </w:t>
      </w:r>
      <w:r w:rsidR="006E7AA4">
        <w:rPr>
          <w:rFonts w:ascii="Cambria" w:eastAsia="Times New Roman" w:hAnsi="Cambria"/>
          <w:bCs/>
          <w:color w:val="000000"/>
          <w:sz w:val="24"/>
          <w:szCs w:val="24"/>
        </w:rPr>
        <w:t>F</w:t>
      </w:r>
      <w:r>
        <w:rPr>
          <w:rFonts w:ascii="Cambria" w:eastAsia="Times New Roman" w:hAnsi="Cambria"/>
          <w:bCs/>
          <w:color w:val="000000"/>
          <w:sz w:val="24"/>
          <w:szCs w:val="24"/>
        </w:rPr>
        <w:t>acial Recognition</w:t>
      </w:r>
      <w:r w:rsidR="006E7AA4">
        <w:rPr>
          <w:rFonts w:ascii="Cambria" w:eastAsia="Times New Roman" w:hAnsi="Cambria"/>
          <w:bCs/>
          <w:color w:val="000000"/>
          <w:sz w:val="24"/>
          <w:szCs w:val="24"/>
        </w:rPr>
        <w:t xml:space="preserve"> Technology</w:t>
      </w:r>
      <w:r>
        <w:rPr>
          <w:rFonts w:ascii="Cambria" w:eastAsia="Times New Roman" w:hAnsi="Cambria"/>
          <w:bCs/>
          <w:color w:val="000000"/>
          <w:sz w:val="24"/>
          <w:szCs w:val="24"/>
        </w:rPr>
        <w:t xml:space="preserve"> </w:t>
      </w:r>
      <w:r w:rsidR="006E7AA4">
        <w:rPr>
          <w:rFonts w:ascii="Cambria" w:eastAsia="Times New Roman" w:hAnsi="Cambria"/>
          <w:bCs/>
          <w:color w:val="000000"/>
          <w:sz w:val="24"/>
          <w:szCs w:val="24"/>
        </w:rPr>
        <w:t>r</w:t>
      </w:r>
      <w:r>
        <w:rPr>
          <w:rFonts w:ascii="Cambria" w:eastAsia="Times New Roman" w:hAnsi="Cambria"/>
          <w:bCs/>
          <w:color w:val="000000"/>
          <w:sz w:val="24"/>
          <w:szCs w:val="24"/>
        </w:rPr>
        <w:t>eport.</w:t>
      </w:r>
    </w:p>
    <w:bookmarkEnd w:id="75"/>
    <w:p w14:paraId="248A59A8" w14:textId="630322DF" w:rsidR="00921A5E" w:rsidRDefault="001D3598" w:rsidP="00EE3EAB">
      <w:pPr>
        <w:numPr>
          <w:ilvl w:val="0"/>
          <w:numId w:val="43"/>
        </w:numPr>
        <w:spacing w:after="120" w:line="276" w:lineRule="auto"/>
        <w:ind w:left="1080"/>
        <w:jc w:val="both"/>
        <w:rPr>
          <w:rFonts w:ascii="Cambria" w:eastAsia="Times New Roman" w:hAnsi="Cambria"/>
          <w:bCs/>
          <w:color w:val="000000"/>
          <w:sz w:val="24"/>
          <w:szCs w:val="24"/>
        </w:rPr>
      </w:pPr>
      <w:r>
        <w:rPr>
          <w:rFonts w:ascii="Cambria" w:eastAsia="Times New Roman" w:hAnsi="Cambria"/>
          <w:bCs/>
          <w:color w:val="000000"/>
          <w:sz w:val="24"/>
          <w:szCs w:val="24"/>
        </w:rPr>
        <w:t>In July</w:t>
      </w:r>
      <w:r w:rsidR="00EE3EAB">
        <w:rPr>
          <w:rFonts w:ascii="Cambria" w:eastAsia="Times New Roman" w:hAnsi="Cambria"/>
          <w:bCs/>
          <w:color w:val="000000"/>
          <w:sz w:val="24"/>
          <w:szCs w:val="24"/>
        </w:rPr>
        <w:t xml:space="preserve"> 2025</w:t>
      </w:r>
      <w:r>
        <w:rPr>
          <w:rFonts w:ascii="Cambria" w:eastAsia="Times New Roman" w:hAnsi="Cambria"/>
          <w:bCs/>
          <w:color w:val="000000"/>
          <w:sz w:val="24"/>
          <w:szCs w:val="24"/>
        </w:rPr>
        <w:t>, PCLOB staff presented its FY 2026 Budget Justification to members of the Senate Appropriations Committee.</w:t>
      </w:r>
    </w:p>
    <w:p w14:paraId="65C34A95" w14:textId="60EE6811" w:rsidR="00C5530E" w:rsidRDefault="00C5530E" w:rsidP="00EE3EAB">
      <w:pPr>
        <w:numPr>
          <w:ilvl w:val="0"/>
          <w:numId w:val="43"/>
        </w:numPr>
        <w:spacing w:after="120" w:line="276" w:lineRule="auto"/>
        <w:ind w:left="1080"/>
        <w:jc w:val="both"/>
        <w:rPr>
          <w:rFonts w:ascii="Cambria" w:eastAsia="Times New Roman" w:hAnsi="Cambria"/>
          <w:bCs/>
          <w:color w:val="000000"/>
          <w:sz w:val="24"/>
          <w:szCs w:val="24"/>
        </w:rPr>
      </w:pPr>
      <w:r w:rsidRPr="00C5530E">
        <w:rPr>
          <w:rFonts w:ascii="Cambria" w:eastAsia="Times New Roman" w:hAnsi="Cambria"/>
          <w:bCs/>
          <w:color w:val="000000"/>
          <w:sz w:val="24"/>
          <w:szCs w:val="24"/>
        </w:rPr>
        <w:t>In September 2025, PCLOB staff met with House Financial Services Committee staff to discuss debanking in the context of ongoing counterterrorism efforts.</w:t>
      </w:r>
    </w:p>
    <w:p w14:paraId="45D68B5C" w14:textId="6794EAA3" w:rsidR="00E64B6D" w:rsidRPr="00EE3EAB" w:rsidRDefault="00E64B6D" w:rsidP="0019237F">
      <w:pPr>
        <w:numPr>
          <w:ilvl w:val="0"/>
          <w:numId w:val="11"/>
        </w:numPr>
        <w:spacing w:before="240" w:after="120" w:line="276" w:lineRule="auto"/>
        <w:jc w:val="both"/>
        <w:rPr>
          <w:rFonts w:ascii="Cambria" w:eastAsia="Times New Roman" w:hAnsi="Cambria"/>
          <w:b/>
          <w:color w:val="000000"/>
          <w:sz w:val="24"/>
          <w:szCs w:val="24"/>
        </w:rPr>
      </w:pPr>
      <w:r w:rsidRPr="00EE3EAB">
        <w:rPr>
          <w:rFonts w:ascii="Cambria" w:eastAsia="Times New Roman" w:hAnsi="Cambria"/>
          <w:b/>
          <w:color w:val="000000"/>
          <w:sz w:val="24"/>
          <w:szCs w:val="24"/>
        </w:rPr>
        <w:t>Publicly Issued Reports.</w:t>
      </w:r>
    </w:p>
    <w:p w14:paraId="192A48BD" w14:textId="711BF56C" w:rsidR="00E64B6D" w:rsidRPr="00EE3EAB" w:rsidRDefault="00753293" w:rsidP="0092236E">
      <w:pPr>
        <w:pStyle w:val="ListParagraph"/>
        <w:numPr>
          <w:ilvl w:val="0"/>
          <w:numId w:val="65"/>
        </w:numPr>
        <w:spacing w:before="120" w:line="276" w:lineRule="auto"/>
        <w:ind w:left="1080"/>
        <w:contextualSpacing w:val="0"/>
        <w:jc w:val="both"/>
        <w:rPr>
          <w:rFonts w:ascii="Cambria" w:eastAsia="Times New Roman" w:hAnsi="Cambria"/>
          <w:b/>
          <w:color w:val="000000"/>
          <w:sz w:val="24"/>
          <w:szCs w:val="24"/>
        </w:rPr>
      </w:pPr>
      <w:r w:rsidRPr="003E3525">
        <w:rPr>
          <w:rFonts w:ascii="Cambria" w:hAnsi="Cambria"/>
          <w:b/>
          <w:bCs/>
          <w:noProof/>
          <w:color w:val="FFFFFF" w:themeColor="background1"/>
          <w:sz w:val="24"/>
          <w:szCs w:val="24"/>
        </w:rPr>
        <mc:AlternateContent>
          <mc:Choice Requires="wps">
            <w:drawing>
              <wp:anchor distT="0" distB="0" distL="114300" distR="114300" simplePos="0" relativeHeight="251780608" behindDoc="1" locked="0" layoutInCell="1" allowOverlap="1" wp14:anchorId="54187EF9" wp14:editId="1655DA47">
                <wp:simplePos x="0" y="0"/>
                <wp:positionH relativeFrom="page">
                  <wp:posOffset>628650</wp:posOffset>
                </wp:positionH>
                <wp:positionV relativeFrom="page">
                  <wp:posOffset>7448549</wp:posOffset>
                </wp:positionV>
                <wp:extent cx="6459855" cy="1909445"/>
                <wp:effectExtent l="38100" t="38100" r="112395" b="109855"/>
                <wp:wrapNone/>
                <wp:docPr id="678014170" name="Rectangle 39"/>
                <wp:cNvGraphicFramePr/>
                <a:graphic xmlns:a="http://schemas.openxmlformats.org/drawingml/2006/main">
                  <a:graphicData uri="http://schemas.microsoft.com/office/word/2010/wordprocessingShape">
                    <wps:wsp>
                      <wps:cNvSpPr/>
                      <wps:spPr>
                        <a:xfrm>
                          <a:off x="0" y="0"/>
                          <a:ext cx="6459855" cy="1909445"/>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6D230" id="Rectangle 39" o:spid="_x0000_s1026" style="position:absolute;margin-left:49.5pt;margin-top:586.5pt;width:508.65pt;height:150.35pt;z-index:-2515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" filled="f" strokecolor="#002060" strokeweight="1.5pt">
                <v:shadow on="t" color="black" opacity="26214f" origin="-.5,-.5" offset=".74836mm,.74836mm"/>
                <w10:wrap anchorx="page" anchory="page"/>
              </v:rect>
            </w:pict>
          </mc:Fallback>
        </mc:AlternateContent>
      </w:r>
      <w:r w:rsidR="00E64B6D">
        <w:rPr>
          <w:rFonts w:ascii="Cambria" w:eastAsia="Times New Roman" w:hAnsi="Cambria"/>
          <w:bCs/>
          <w:color w:val="000000"/>
          <w:sz w:val="24"/>
          <w:szCs w:val="24"/>
        </w:rPr>
        <w:t>In addition to various oversight and financial reports already referenced, PCLOB issued a Semi-Annual Report</w:t>
      </w:r>
      <w:r w:rsidR="00004AF6">
        <w:rPr>
          <w:rFonts w:ascii="Cambria" w:eastAsia="Times New Roman" w:hAnsi="Cambria"/>
          <w:bCs/>
          <w:color w:val="000000"/>
          <w:sz w:val="24"/>
          <w:szCs w:val="24"/>
        </w:rPr>
        <w:t xml:space="preserve"> in June 2025,</w:t>
      </w:r>
      <w:r w:rsidR="00E64B6D">
        <w:rPr>
          <w:rFonts w:ascii="Cambria" w:eastAsia="Times New Roman" w:hAnsi="Cambria"/>
          <w:bCs/>
          <w:color w:val="000000"/>
          <w:sz w:val="24"/>
          <w:szCs w:val="24"/>
        </w:rPr>
        <w:t xml:space="preserve"> covering the agency’s activities for the period of July through December 2024.</w:t>
      </w:r>
    </w:p>
    <w:p w14:paraId="0DA0317E" w14:textId="140A7AF6" w:rsidR="00921A5E" w:rsidRPr="00182D44" w:rsidRDefault="00EE3EAB" w:rsidP="0092236E">
      <w:pPr>
        <w:spacing w:before="240" w:after="0"/>
        <w:rPr>
          <w:rFonts w:ascii="Cambria" w:eastAsia="Times New Roman" w:hAnsi="Cambria"/>
          <w:b/>
          <w:bCs/>
          <w:sz w:val="24"/>
          <w:szCs w:val="24"/>
        </w:rPr>
      </w:pPr>
      <w:r>
        <w:rPr>
          <w:rFonts w:ascii="Cambria" w:eastAsia="Times New Roman" w:hAnsi="Cambria"/>
          <w:b/>
          <w:bCs/>
          <w:sz w:val="24"/>
          <w:szCs w:val="24"/>
        </w:rPr>
        <w:t>F</w:t>
      </w:r>
      <w:r w:rsidR="00921A5E" w:rsidRPr="00182D44">
        <w:rPr>
          <w:rFonts w:ascii="Cambria" w:eastAsia="Times New Roman" w:hAnsi="Cambria"/>
          <w:b/>
          <w:bCs/>
          <w:sz w:val="24"/>
          <w:szCs w:val="24"/>
        </w:rPr>
        <w:t xml:space="preserve">Y </w:t>
      </w:r>
      <w:r w:rsidR="0049075B">
        <w:rPr>
          <w:rFonts w:ascii="Cambria" w:eastAsia="Times New Roman" w:hAnsi="Cambria"/>
          <w:b/>
          <w:bCs/>
          <w:sz w:val="24"/>
          <w:szCs w:val="24"/>
        </w:rPr>
        <w:t>2025</w:t>
      </w:r>
      <w:r w:rsidR="00921A5E" w:rsidRPr="00182D44">
        <w:rPr>
          <w:rFonts w:ascii="Cambria" w:eastAsia="Times New Roman" w:hAnsi="Cambria"/>
          <w:b/>
          <w:bCs/>
          <w:sz w:val="24"/>
          <w:szCs w:val="24"/>
        </w:rPr>
        <w:t xml:space="preserve"> Performance Results: Strategic Goal 4</w:t>
      </w:r>
    </w:p>
    <w:p w14:paraId="046E5D18" w14:textId="1838B825" w:rsidR="007357DC" w:rsidRDefault="007357DC" w:rsidP="007357DC">
      <w:pPr>
        <w:spacing w:line="276" w:lineRule="auto"/>
        <w:jc w:val="both"/>
        <w:rPr>
          <w:rFonts w:ascii="Cambria" w:eastAsia="Times New Roman" w:hAnsi="Cambria"/>
          <w:bCs/>
          <w:noProof/>
          <w:sz w:val="24"/>
          <w:szCs w:val="24"/>
        </w:rPr>
      </w:pPr>
      <w:r w:rsidRPr="00E32E62">
        <w:rPr>
          <w:rFonts w:ascii="Cambria" w:eastAsia="Times New Roman" w:hAnsi="Cambria"/>
          <w:bCs/>
          <w:noProof/>
          <w:sz w:val="24"/>
          <w:szCs w:val="24"/>
        </w:rPr>
        <w:t xml:space="preserve">As depicted in the graphic below, </w:t>
      </w:r>
      <w:r w:rsidR="005F366C">
        <w:rPr>
          <w:rFonts w:ascii="Cambria" w:eastAsia="Times New Roman" w:hAnsi="Cambria"/>
          <w:bCs/>
          <w:noProof/>
          <w:sz w:val="24"/>
          <w:szCs w:val="24"/>
        </w:rPr>
        <w:t>PCLOB</w:t>
      </w:r>
      <w:r w:rsidRPr="00E32E62">
        <w:rPr>
          <w:rFonts w:ascii="Cambria" w:eastAsia="Times New Roman" w:hAnsi="Cambria"/>
          <w:bCs/>
          <w:noProof/>
          <w:sz w:val="24"/>
          <w:szCs w:val="24"/>
        </w:rPr>
        <w:t xml:space="preserve"> was tracking to meet </w:t>
      </w:r>
      <w:r w:rsidR="00ED4249">
        <w:rPr>
          <w:rFonts w:ascii="Cambria" w:eastAsia="Times New Roman" w:hAnsi="Cambria"/>
          <w:b/>
          <w:noProof/>
          <w:sz w:val="24"/>
          <w:szCs w:val="24"/>
        </w:rPr>
        <w:t>twelve</w:t>
      </w:r>
      <w:r w:rsidRPr="00E32E62">
        <w:rPr>
          <w:rFonts w:ascii="Cambria" w:eastAsia="Times New Roman" w:hAnsi="Cambria"/>
          <w:bCs/>
          <w:noProof/>
          <w:sz w:val="24"/>
          <w:szCs w:val="24"/>
        </w:rPr>
        <w:t xml:space="preserve"> of </w:t>
      </w:r>
      <w:r w:rsidR="00ED4249">
        <w:rPr>
          <w:rFonts w:ascii="Cambria" w:eastAsia="Times New Roman" w:hAnsi="Cambria"/>
          <w:b/>
          <w:noProof/>
          <w:sz w:val="24"/>
          <w:szCs w:val="24"/>
        </w:rPr>
        <w:t>fourteen</w:t>
      </w:r>
      <w:r>
        <w:rPr>
          <w:rFonts w:ascii="Cambria" w:eastAsia="Times New Roman" w:hAnsi="Cambria"/>
          <w:b/>
          <w:noProof/>
          <w:sz w:val="24"/>
          <w:szCs w:val="24"/>
        </w:rPr>
        <w:t xml:space="preserve"> </w:t>
      </w:r>
      <w:r>
        <w:rPr>
          <w:rFonts w:ascii="Cambria" w:eastAsia="Times New Roman" w:hAnsi="Cambria"/>
          <w:bCs/>
          <w:noProof/>
          <w:sz w:val="24"/>
          <w:szCs w:val="24"/>
        </w:rPr>
        <w:t>(or 86%)</w:t>
      </w:r>
      <w:r w:rsidRPr="00E32E62">
        <w:rPr>
          <w:rFonts w:ascii="Cambria" w:eastAsia="Times New Roman" w:hAnsi="Cambria"/>
          <w:bCs/>
          <w:noProof/>
          <w:sz w:val="24"/>
          <w:szCs w:val="24"/>
        </w:rPr>
        <w:t xml:space="preserve"> established performance indicators under this strategic goal by the end of FY 2025.</w:t>
      </w:r>
    </w:p>
    <w:p w14:paraId="67CC33B5" w14:textId="30E63B6D" w:rsidR="00C727AE" w:rsidRDefault="006977ED" w:rsidP="007357DC">
      <w:pPr>
        <w:spacing w:line="276" w:lineRule="auto"/>
        <w:jc w:val="both"/>
        <w:rPr>
          <w:rFonts w:ascii="Cambria" w:eastAsia="Times New Roman" w:hAnsi="Cambria"/>
          <w:bCs/>
          <w:noProof/>
          <w:sz w:val="24"/>
          <w:szCs w:val="24"/>
        </w:rPr>
      </w:pPr>
      <w:r>
        <w:rPr>
          <w:rFonts w:ascii="Cambria" w:eastAsia="Times New Roman" w:hAnsi="Cambria"/>
          <w:bCs/>
          <w:noProof/>
          <w:sz w:val="24"/>
          <w:szCs w:val="24"/>
        </w:rPr>
        <w:t xml:space="preserve">One </w:t>
      </w:r>
      <w:r w:rsidR="00EC6102">
        <w:rPr>
          <w:rFonts w:ascii="Cambria" w:eastAsia="Times New Roman" w:hAnsi="Cambria"/>
          <w:bCs/>
          <w:noProof/>
          <w:sz w:val="24"/>
          <w:szCs w:val="24"/>
        </w:rPr>
        <w:t xml:space="preserve">of the metrics </w:t>
      </w:r>
      <w:r w:rsidR="00004AF6">
        <w:rPr>
          <w:rFonts w:ascii="Cambria" w:eastAsia="Times New Roman" w:hAnsi="Cambria"/>
          <w:bCs/>
          <w:noProof/>
          <w:sz w:val="24"/>
          <w:szCs w:val="24"/>
        </w:rPr>
        <w:t>for</w:t>
      </w:r>
      <w:r w:rsidR="00EC6102">
        <w:rPr>
          <w:rFonts w:ascii="Cambria" w:eastAsia="Times New Roman" w:hAnsi="Cambria"/>
          <w:bCs/>
          <w:noProof/>
          <w:sz w:val="24"/>
          <w:szCs w:val="24"/>
        </w:rPr>
        <w:t xml:space="preserve"> this goal (#4.2.1)</w:t>
      </w:r>
      <w:r w:rsidR="00004AF6">
        <w:rPr>
          <w:rFonts w:ascii="Cambria" w:eastAsia="Times New Roman" w:hAnsi="Cambria"/>
          <w:bCs/>
          <w:noProof/>
          <w:sz w:val="24"/>
          <w:szCs w:val="24"/>
        </w:rPr>
        <w:t>,</w:t>
      </w:r>
      <w:r w:rsidR="00EC6102">
        <w:rPr>
          <w:rFonts w:ascii="Cambria" w:eastAsia="Times New Roman" w:hAnsi="Cambria"/>
          <w:bCs/>
          <w:noProof/>
          <w:sz w:val="24"/>
          <w:szCs w:val="24"/>
        </w:rPr>
        <w:t xml:space="preserve"> relating to the issuance of a second semi-annu</w:t>
      </w:r>
      <w:r w:rsidR="00004AF6">
        <w:rPr>
          <w:rFonts w:ascii="Cambria" w:eastAsia="Times New Roman" w:hAnsi="Cambria"/>
          <w:bCs/>
          <w:noProof/>
          <w:sz w:val="24"/>
          <w:szCs w:val="24"/>
        </w:rPr>
        <w:t>a</w:t>
      </w:r>
      <w:r w:rsidR="00EC6102">
        <w:rPr>
          <w:rFonts w:ascii="Cambria" w:eastAsia="Times New Roman" w:hAnsi="Cambria"/>
          <w:bCs/>
          <w:noProof/>
          <w:sz w:val="24"/>
          <w:szCs w:val="24"/>
        </w:rPr>
        <w:t>l report</w:t>
      </w:r>
      <w:r w:rsidR="00004AF6">
        <w:rPr>
          <w:rFonts w:ascii="Cambria" w:eastAsia="Times New Roman" w:hAnsi="Cambria"/>
          <w:bCs/>
          <w:noProof/>
          <w:sz w:val="24"/>
          <w:szCs w:val="24"/>
        </w:rPr>
        <w:t>,</w:t>
      </w:r>
      <w:r w:rsidR="00EC6102">
        <w:rPr>
          <w:rFonts w:ascii="Cambria" w:eastAsia="Times New Roman" w:hAnsi="Cambria"/>
          <w:bCs/>
          <w:noProof/>
          <w:sz w:val="24"/>
          <w:szCs w:val="24"/>
        </w:rPr>
        <w:t xml:space="preserve"> could not be achieved with a sub-quorate Board</w:t>
      </w:r>
      <w:r w:rsidR="00004AF6">
        <w:rPr>
          <w:rFonts w:ascii="Cambria" w:eastAsia="Times New Roman" w:hAnsi="Cambria"/>
          <w:bCs/>
          <w:noProof/>
          <w:sz w:val="24"/>
          <w:szCs w:val="24"/>
        </w:rPr>
        <w:t>. PCLOB also did not meet its goal of hosting a public forum in FY 2025 (#4.3.2)</w:t>
      </w:r>
      <w:r w:rsidR="00EC6102">
        <w:rPr>
          <w:rFonts w:ascii="Cambria" w:eastAsia="Times New Roman" w:hAnsi="Cambria"/>
          <w:bCs/>
          <w:noProof/>
          <w:sz w:val="24"/>
          <w:szCs w:val="24"/>
        </w:rPr>
        <w:t xml:space="preserve">. </w:t>
      </w:r>
      <w:r w:rsidR="00C727AE">
        <w:rPr>
          <w:rFonts w:ascii="Cambria" w:eastAsia="Times New Roman" w:hAnsi="Cambria"/>
          <w:bCs/>
          <w:noProof/>
          <w:sz w:val="24"/>
          <w:szCs w:val="24"/>
        </w:rPr>
        <w:t xml:space="preserve">Overall, </w:t>
      </w:r>
      <w:r w:rsidR="00EC6102">
        <w:rPr>
          <w:rFonts w:ascii="Cambria" w:eastAsia="Times New Roman" w:hAnsi="Cambria"/>
          <w:bCs/>
          <w:noProof/>
          <w:sz w:val="24"/>
          <w:szCs w:val="24"/>
        </w:rPr>
        <w:t xml:space="preserve">however, </w:t>
      </w:r>
      <w:r w:rsidR="00C727AE">
        <w:rPr>
          <w:rFonts w:ascii="Cambria" w:eastAsia="Times New Roman" w:hAnsi="Cambria"/>
          <w:bCs/>
          <w:noProof/>
          <w:sz w:val="24"/>
          <w:szCs w:val="24"/>
        </w:rPr>
        <w:t xml:space="preserve">PCLOB successfully achieved </w:t>
      </w:r>
      <w:r w:rsidR="00EC6102">
        <w:rPr>
          <w:rFonts w:ascii="Cambria" w:eastAsia="Times New Roman" w:hAnsi="Cambria"/>
          <w:bCs/>
          <w:noProof/>
          <w:sz w:val="24"/>
          <w:szCs w:val="24"/>
        </w:rPr>
        <w:t xml:space="preserve">most of </w:t>
      </w:r>
      <w:r w:rsidR="00C727AE">
        <w:rPr>
          <w:rFonts w:ascii="Cambria" w:eastAsia="Times New Roman" w:hAnsi="Cambria"/>
          <w:bCs/>
          <w:noProof/>
          <w:sz w:val="24"/>
          <w:szCs w:val="24"/>
        </w:rPr>
        <w:t xml:space="preserve">its goals relating to transparency, as described in the various speaking events, meetings, and briefings above. </w:t>
      </w:r>
    </w:p>
    <w:p w14:paraId="3A80E633" w14:textId="2391271D" w:rsidR="00606534" w:rsidRDefault="0058101D">
      <w:pPr>
        <w:rPr>
          <w:rFonts w:ascii="Cambria" w:eastAsia="Times New Roman" w:hAnsi="Cambria"/>
          <w:bCs/>
          <w:color w:val="000000"/>
          <w:sz w:val="24"/>
          <w:szCs w:val="24"/>
        </w:rPr>
        <w:sectPr w:rsidR="00606534" w:rsidSect="00A47B91">
          <w:pgSz w:w="12240" w:h="15840"/>
          <w:pgMar w:top="1871" w:right="1440" w:bottom="1080" w:left="1440" w:header="450" w:footer="720" w:gutter="0"/>
          <w:cols w:space="720"/>
          <w:docGrid w:linePitch="360"/>
        </w:sectPr>
      </w:pPr>
      <w:r w:rsidRPr="0058101D">
        <w:rPr>
          <w:rFonts w:ascii="Cambria" w:eastAsia="Times New Roman" w:hAnsi="Cambria"/>
          <w:bCs/>
          <w:noProof/>
          <w:color w:val="000000"/>
          <w:sz w:val="24"/>
          <w:szCs w:val="24"/>
        </w:rPr>
        <w:lastRenderedPageBreak/>
        <w:drawing>
          <wp:anchor distT="0" distB="0" distL="114300" distR="114300" simplePos="0" relativeHeight="252202496" behindDoc="1" locked="0" layoutInCell="1" allowOverlap="1" wp14:anchorId="7DFA802E" wp14:editId="00304ED5">
            <wp:simplePos x="0" y="0"/>
            <wp:positionH relativeFrom="column">
              <wp:posOffset>104140</wp:posOffset>
            </wp:positionH>
            <wp:positionV relativeFrom="paragraph">
              <wp:posOffset>347980</wp:posOffset>
            </wp:positionV>
            <wp:extent cx="5943600" cy="7177405"/>
            <wp:effectExtent l="0" t="0" r="0" b="4445"/>
            <wp:wrapTight wrapText="bothSides">
              <wp:wrapPolygon edited="0">
                <wp:start x="0" y="0"/>
                <wp:lineTo x="0" y="2351"/>
                <wp:lineTo x="1869" y="2752"/>
                <wp:lineTo x="1869" y="21097"/>
                <wp:lineTo x="0" y="21441"/>
                <wp:lineTo x="0" y="21556"/>
                <wp:lineTo x="21531" y="21556"/>
                <wp:lineTo x="21531" y="0"/>
                <wp:lineTo x="0" y="0"/>
              </wp:wrapPolygon>
            </wp:wrapTight>
            <wp:docPr id="73937180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7177405"/>
                    </a:xfrm>
                    <a:prstGeom prst="rect">
                      <a:avLst/>
                    </a:prstGeom>
                    <a:noFill/>
                    <a:ln>
                      <a:noFill/>
                    </a:ln>
                  </pic:spPr>
                </pic:pic>
              </a:graphicData>
            </a:graphic>
          </wp:anchor>
        </w:drawing>
      </w:r>
      <w:r w:rsidRPr="0058101D">
        <w:rPr>
          <w:rFonts w:ascii="Cambria" w:eastAsia="Times New Roman" w:hAnsi="Cambria"/>
          <w:bCs/>
          <w:color w:val="000000"/>
          <w:sz w:val="24"/>
          <w:szCs w:val="24"/>
        </w:rPr>
        <w:t xml:space="preserve"> </w:t>
      </w:r>
      <w:r w:rsidR="000201F2" w:rsidRPr="003E3525">
        <w:rPr>
          <w:rFonts w:ascii="Cambria" w:hAnsi="Cambria"/>
          <w:b/>
          <w:bCs/>
          <w:noProof/>
          <w:color w:val="FFFFFF" w:themeColor="background1"/>
          <w:sz w:val="24"/>
          <w:szCs w:val="24"/>
        </w:rPr>
        <mc:AlternateContent>
          <mc:Choice Requires="wps">
            <w:drawing>
              <wp:anchor distT="0" distB="0" distL="114300" distR="114300" simplePos="0" relativeHeight="252117504" behindDoc="1" locked="0" layoutInCell="1" allowOverlap="1" wp14:anchorId="3D47C334" wp14:editId="0591B1DB">
                <wp:simplePos x="0" y="0"/>
                <wp:positionH relativeFrom="page">
                  <wp:posOffset>733425</wp:posOffset>
                </wp:positionH>
                <wp:positionV relativeFrom="page">
                  <wp:posOffset>1295400</wp:posOffset>
                </wp:positionV>
                <wp:extent cx="6459855" cy="7639050"/>
                <wp:effectExtent l="38100" t="38100" r="112395" b="114300"/>
                <wp:wrapSquare wrapText="bothSides"/>
                <wp:docPr id="1381349993" name="Rectangle 39"/>
                <wp:cNvGraphicFramePr/>
                <a:graphic xmlns:a="http://schemas.openxmlformats.org/drawingml/2006/main">
                  <a:graphicData uri="http://schemas.microsoft.com/office/word/2010/wordprocessingShape">
                    <wps:wsp>
                      <wps:cNvSpPr/>
                      <wps:spPr>
                        <a:xfrm>
                          <a:off x="0" y="0"/>
                          <a:ext cx="6459855" cy="7639050"/>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80178" id="Rectangle 39" o:spid="_x0000_s1026" style="position:absolute;margin-left:57.75pt;margin-top:102pt;width:508.65pt;height:601.5pt;z-index:-2511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" filled="f" strokecolor="#002060" strokeweight="1.5pt">
                <v:shadow on="t" color="black" opacity="26214f" origin="-.5,-.5" offset=".74836mm,.74836mm"/>
                <w10:wrap type="square" anchorx="page" anchory="page"/>
              </v:rect>
            </w:pict>
          </mc:Fallback>
        </mc:AlternateContent>
      </w:r>
      <w:r w:rsidR="00494B61">
        <w:rPr>
          <w:rFonts w:ascii="Cambria" w:eastAsia="Times New Roman" w:hAnsi="Cambria"/>
          <w:bCs/>
          <w:color w:val="000000"/>
          <w:sz w:val="24"/>
          <w:szCs w:val="24"/>
        </w:rPr>
        <w:br w:type="page"/>
      </w:r>
    </w:p>
    <w:p w14:paraId="6471AC3E" w14:textId="47D9BE5B" w:rsidR="00161A0F" w:rsidRPr="002345D3" w:rsidRDefault="00161A0F" w:rsidP="002345D3">
      <w:pPr>
        <w:pStyle w:val="Heading3"/>
        <w:rPr>
          <w:color w:val="002060"/>
          <w:sz w:val="24"/>
          <w:szCs w:val="24"/>
        </w:rPr>
      </w:pPr>
      <w:bookmarkStart w:id="76" w:name="_Toc179295665"/>
      <w:bookmarkStart w:id="77" w:name="_Toc212119662"/>
      <w:bookmarkStart w:id="78" w:name="_Toc213421236"/>
      <w:r w:rsidRPr="002345D3">
        <w:rPr>
          <w:color w:val="002060"/>
          <w:sz w:val="24"/>
          <w:szCs w:val="24"/>
        </w:rPr>
        <w:lastRenderedPageBreak/>
        <w:t>STRATEGIC GOAL 5: STRENGTH</w:t>
      </w:r>
      <w:bookmarkEnd w:id="76"/>
      <w:bookmarkEnd w:id="77"/>
      <w:bookmarkEnd w:id="78"/>
      <w:r w:rsidRPr="002345D3">
        <w:rPr>
          <w:sz w:val="24"/>
          <w:szCs w:val="24"/>
        </w:rPr>
        <w:t xml:space="preserve"> </w:t>
      </w:r>
      <w:r w:rsidRPr="002345D3">
        <w:rPr>
          <w:i/>
          <w:iCs/>
          <w:sz w:val="18"/>
          <w:szCs w:val="18"/>
        </w:rPr>
        <w:t xml:space="preserve"> </w:t>
      </w:r>
    </w:p>
    <w:p w14:paraId="77E9B02B" w14:textId="46747A5B" w:rsidR="00161A0F" w:rsidRPr="000C50CC" w:rsidRDefault="00161A0F" w:rsidP="00161A0F">
      <w:pPr>
        <w:pBdr>
          <w:bottom w:val="single" w:sz="12" w:space="6" w:color="002060"/>
        </w:pBdr>
        <w:jc w:val="both"/>
        <w:rPr>
          <w:rFonts w:ascii="Cambria" w:hAnsi="Cambria"/>
          <w:i/>
          <w:iCs/>
          <w:sz w:val="24"/>
          <w:szCs w:val="24"/>
        </w:rPr>
      </w:pPr>
      <w:r w:rsidRPr="000C50CC">
        <w:rPr>
          <w:rFonts w:ascii="Cambria" w:hAnsi="Cambria"/>
          <w:i/>
          <w:iCs/>
          <w:sz w:val="24"/>
          <w:szCs w:val="24"/>
        </w:rPr>
        <w:t xml:space="preserve">Continue to enhance </w:t>
      </w:r>
      <w:r>
        <w:rPr>
          <w:rFonts w:ascii="Cambria" w:hAnsi="Cambria"/>
          <w:i/>
          <w:iCs/>
          <w:sz w:val="24"/>
          <w:szCs w:val="24"/>
        </w:rPr>
        <w:t>PCLOB</w:t>
      </w:r>
      <w:r w:rsidRPr="000C50CC">
        <w:rPr>
          <w:rFonts w:ascii="Cambria" w:hAnsi="Cambria"/>
          <w:i/>
          <w:iCs/>
          <w:sz w:val="24"/>
          <w:szCs w:val="24"/>
        </w:rPr>
        <w:t>’s institutional strength and capacity.</w:t>
      </w:r>
    </w:p>
    <w:p w14:paraId="5B18662B" w14:textId="1488532D" w:rsidR="00161A0F" w:rsidRPr="000C50CC" w:rsidRDefault="00161A0F" w:rsidP="00161A0F">
      <w:pPr>
        <w:spacing w:line="276" w:lineRule="auto"/>
        <w:jc w:val="both"/>
        <w:rPr>
          <w:rFonts w:ascii="Cambria" w:hAnsi="Cambria"/>
          <w:b/>
          <w:bCs/>
          <w:sz w:val="24"/>
          <w:szCs w:val="24"/>
        </w:rPr>
      </w:pPr>
      <w:r w:rsidRPr="000C50CC">
        <w:rPr>
          <w:rFonts w:ascii="Cambria" w:hAnsi="Cambria"/>
          <w:b/>
          <w:bCs/>
          <w:sz w:val="24"/>
          <w:szCs w:val="24"/>
        </w:rPr>
        <w:t>Background</w:t>
      </w:r>
    </w:p>
    <w:p w14:paraId="73960011" w14:textId="0799FEF5" w:rsidR="00161A0F" w:rsidRDefault="00161A0F" w:rsidP="00161A0F">
      <w:pPr>
        <w:spacing w:line="276" w:lineRule="auto"/>
        <w:jc w:val="both"/>
        <w:rPr>
          <w:rFonts w:ascii="Cambria" w:hAnsi="Cambria"/>
          <w:bCs/>
          <w:sz w:val="24"/>
          <w:szCs w:val="24"/>
        </w:rPr>
      </w:pPr>
      <w:r>
        <w:rPr>
          <w:rFonts w:ascii="Cambria" w:hAnsi="Cambria"/>
          <w:bCs/>
          <w:sz w:val="24"/>
          <w:szCs w:val="24"/>
        </w:rPr>
        <w:t>T</w:t>
      </w:r>
      <w:r w:rsidRPr="000C50CC">
        <w:rPr>
          <w:rFonts w:ascii="Cambria" w:hAnsi="Cambria"/>
          <w:bCs/>
          <w:sz w:val="24"/>
          <w:szCs w:val="24"/>
        </w:rPr>
        <w:t xml:space="preserve">he agency </w:t>
      </w:r>
      <w:r>
        <w:rPr>
          <w:rFonts w:ascii="Cambria" w:hAnsi="Cambria"/>
          <w:bCs/>
          <w:sz w:val="24"/>
          <w:szCs w:val="24"/>
        </w:rPr>
        <w:t xml:space="preserve">is staffed by Board Members and their respective counselors, </w:t>
      </w:r>
      <w:r w:rsidRPr="000C50CC">
        <w:rPr>
          <w:rFonts w:ascii="Cambria" w:hAnsi="Cambria"/>
          <w:bCs/>
          <w:sz w:val="24"/>
          <w:szCs w:val="24"/>
        </w:rPr>
        <w:t>mission staff</w:t>
      </w:r>
      <w:r w:rsidR="00842167">
        <w:rPr>
          <w:rFonts w:ascii="Cambria" w:hAnsi="Cambria"/>
          <w:bCs/>
          <w:sz w:val="24"/>
          <w:szCs w:val="24"/>
        </w:rPr>
        <w:t xml:space="preserve"> (i.e., those professionals</w:t>
      </w:r>
      <w:r w:rsidRPr="000C50CC">
        <w:rPr>
          <w:rFonts w:ascii="Cambria" w:hAnsi="Cambria"/>
          <w:bCs/>
          <w:sz w:val="24"/>
          <w:szCs w:val="24"/>
        </w:rPr>
        <w:t xml:space="preserve"> </w:t>
      </w:r>
      <w:r w:rsidR="00842167">
        <w:rPr>
          <w:rFonts w:ascii="Cambria" w:hAnsi="Cambria"/>
          <w:bCs/>
          <w:sz w:val="24"/>
          <w:szCs w:val="24"/>
        </w:rPr>
        <w:t xml:space="preserve">who work on agency oversight and advice projects), </w:t>
      </w:r>
      <w:r w:rsidRPr="000C50CC">
        <w:rPr>
          <w:rFonts w:ascii="Cambria" w:hAnsi="Cambria"/>
          <w:bCs/>
          <w:sz w:val="24"/>
          <w:szCs w:val="24"/>
        </w:rPr>
        <w:t>general counsel</w:t>
      </w:r>
      <w:r w:rsidR="00E82887">
        <w:rPr>
          <w:rFonts w:ascii="Cambria" w:hAnsi="Cambria"/>
          <w:bCs/>
          <w:sz w:val="24"/>
          <w:szCs w:val="24"/>
        </w:rPr>
        <w:t xml:space="preserve"> staff</w:t>
      </w:r>
      <w:r w:rsidRPr="000C50CC">
        <w:rPr>
          <w:rFonts w:ascii="Cambria" w:hAnsi="Cambria"/>
          <w:bCs/>
          <w:sz w:val="24"/>
          <w:szCs w:val="24"/>
        </w:rPr>
        <w:t xml:space="preserve">, </w:t>
      </w:r>
      <w:proofErr w:type="gramStart"/>
      <w:r w:rsidR="00B408D4">
        <w:rPr>
          <w:rFonts w:ascii="Cambria" w:hAnsi="Cambria"/>
          <w:bCs/>
          <w:sz w:val="24"/>
          <w:szCs w:val="24"/>
        </w:rPr>
        <w:t xml:space="preserve">a </w:t>
      </w:r>
      <w:r w:rsidR="003B2EB4">
        <w:rPr>
          <w:rFonts w:ascii="Cambria" w:hAnsi="Cambria"/>
          <w:bCs/>
          <w:sz w:val="24"/>
          <w:szCs w:val="24"/>
        </w:rPr>
        <w:t>director</w:t>
      </w:r>
      <w:proofErr w:type="gramEnd"/>
      <w:r w:rsidR="003B2EB4">
        <w:rPr>
          <w:rFonts w:ascii="Cambria" w:hAnsi="Cambria"/>
          <w:bCs/>
          <w:sz w:val="24"/>
          <w:szCs w:val="24"/>
        </w:rPr>
        <w:t xml:space="preserve"> of </w:t>
      </w:r>
      <w:r w:rsidR="00B408D4">
        <w:rPr>
          <w:rFonts w:ascii="Cambria" w:hAnsi="Cambria"/>
          <w:bCs/>
          <w:sz w:val="24"/>
          <w:szCs w:val="24"/>
        </w:rPr>
        <w:t xml:space="preserve">legislative and public affairs, </w:t>
      </w:r>
      <w:r w:rsidRPr="000C50CC">
        <w:rPr>
          <w:rFonts w:ascii="Cambria" w:hAnsi="Cambria"/>
          <w:bCs/>
          <w:sz w:val="24"/>
          <w:szCs w:val="24"/>
        </w:rPr>
        <w:t>and operations staff</w:t>
      </w:r>
      <w:r w:rsidR="00842167">
        <w:rPr>
          <w:rFonts w:ascii="Cambria" w:hAnsi="Cambria"/>
          <w:bCs/>
          <w:sz w:val="24"/>
          <w:szCs w:val="24"/>
        </w:rPr>
        <w:t xml:space="preserve"> </w:t>
      </w:r>
      <w:r w:rsidR="00842167" w:rsidRPr="00842167">
        <w:rPr>
          <w:rFonts w:ascii="Cambria" w:hAnsi="Cambria"/>
          <w:bCs/>
          <w:sz w:val="24"/>
          <w:szCs w:val="24"/>
        </w:rPr>
        <w:t>(i.e., those professionals who</w:t>
      </w:r>
      <w:r w:rsidR="00842167">
        <w:rPr>
          <w:rFonts w:ascii="Cambria" w:hAnsi="Cambria"/>
          <w:bCs/>
          <w:sz w:val="24"/>
          <w:szCs w:val="24"/>
        </w:rPr>
        <w:t xml:space="preserve"> provide operational support in specialized</w:t>
      </w:r>
      <w:r w:rsidR="003D0158" w:rsidRPr="003D0158">
        <w:rPr>
          <w:noProof/>
        </w:rPr>
        <w:t xml:space="preserve"> </w:t>
      </w:r>
      <w:r w:rsidR="00842167">
        <w:rPr>
          <w:rFonts w:ascii="Cambria" w:hAnsi="Cambria"/>
          <w:bCs/>
          <w:sz w:val="24"/>
          <w:szCs w:val="24"/>
        </w:rPr>
        <w:t>areas)</w:t>
      </w:r>
      <w:r>
        <w:rPr>
          <w:rFonts w:ascii="Cambria" w:hAnsi="Cambria"/>
          <w:bCs/>
          <w:sz w:val="24"/>
          <w:szCs w:val="24"/>
        </w:rPr>
        <w:t>.</w:t>
      </w:r>
      <w:r w:rsidRPr="000C50CC">
        <w:rPr>
          <w:rFonts w:ascii="Cambria" w:hAnsi="Cambria"/>
          <w:bCs/>
          <w:sz w:val="24"/>
          <w:szCs w:val="24"/>
        </w:rPr>
        <w:t xml:space="preserve"> </w:t>
      </w:r>
      <w:r w:rsidRPr="005430F9">
        <w:rPr>
          <w:rFonts w:ascii="Cambria" w:hAnsi="Cambria"/>
          <w:bCs/>
          <w:sz w:val="24"/>
          <w:szCs w:val="24"/>
        </w:rPr>
        <w:t xml:space="preserve">In a manner consistent with its small size and limited workforce, </w:t>
      </w:r>
      <w:r w:rsidRPr="000C50CC">
        <w:rPr>
          <w:rFonts w:ascii="Cambria" w:hAnsi="Cambria"/>
          <w:bCs/>
          <w:sz w:val="24"/>
          <w:szCs w:val="24"/>
        </w:rPr>
        <w:t>PCLOB</w:t>
      </w:r>
      <w:r w:rsidRPr="005430F9">
        <w:rPr>
          <w:rFonts w:ascii="Cambria" w:hAnsi="Cambria"/>
          <w:bCs/>
          <w:sz w:val="24"/>
          <w:szCs w:val="24"/>
        </w:rPr>
        <w:t xml:space="preserve"> must continuously </w:t>
      </w:r>
      <w:r w:rsidR="005B0857">
        <w:rPr>
          <w:rFonts w:ascii="Cambria" w:hAnsi="Cambria"/>
          <w:bCs/>
          <w:sz w:val="24"/>
          <w:szCs w:val="24"/>
        </w:rPr>
        <w:t>work</w:t>
      </w:r>
      <w:r w:rsidRPr="005430F9">
        <w:rPr>
          <w:rFonts w:ascii="Cambria" w:hAnsi="Cambria"/>
          <w:bCs/>
          <w:sz w:val="24"/>
          <w:szCs w:val="24"/>
        </w:rPr>
        <w:t xml:space="preserve"> to achieve a standard of excellence in both mission and operational activities</w:t>
      </w:r>
      <w:r w:rsidRPr="000C50CC">
        <w:rPr>
          <w:rFonts w:ascii="Cambria" w:hAnsi="Cambria"/>
          <w:bCs/>
          <w:sz w:val="24"/>
          <w:szCs w:val="24"/>
        </w:rPr>
        <w:t xml:space="preserve"> and meet the agency’s fifth strategic goal</w:t>
      </w:r>
      <w:r w:rsidRPr="005430F9">
        <w:rPr>
          <w:rFonts w:ascii="Cambria" w:hAnsi="Cambria"/>
          <w:bCs/>
          <w:sz w:val="24"/>
          <w:szCs w:val="24"/>
        </w:rPr>
        <w:t>.</w:t>
      </w:r>
      <w:r w:rsidRPr="000C50CC">
        <w:rPr>
          <w:rFonts w:ascii="Cambria" w:hAnsi="Cambria"/>
          <w:bCs/>
          <w:sz w:val="24"/>
          <w:szCs w:val="24"/>
        </w:rPr>
        <w:t xml:space="preserve"> </w:t>
      </w:r>
      <w:r w:rsidR="00842167">
        <w:rPr>
          <w:rFonts w:ascii="Cambria" w:hAnsi="Cambria"/>
          <w:bCs/>
          <w:sz w:val="24"/>
          <w:szCs w:val="24"/>
        </w:rPr>
        <w:t>T</w:t>
      </w:r>
      <w:r>
        <w:rPr>
          <w:rFonts w:ascii="Cambria" w:hAnsi="Cambria"/>
          <w:bCs/>
          <w:sz w:val="24"/>
          <w:szCs w:val="24"/>
        </w:rPr>
        <w:t xml:space="preserve">he </w:t>
      </w:r>
      <w:r w:rsidRPr="000C50CC">
        <w:rPr>
          <w:rFonts w:ascii="Cambria" w:hAnsi="Cambria"/>
          <w:bCs/>
          <w:sz w:val="24"/>
          <w:szCs w:val="24"/>
        </w:rPr>
        <w:t xml:space="preserve">small operations </w:t>
      </w:r>
      <w:r w:rsidRPr="00113796">
        <w:rPr>
          <w:rFonts w:ascii="Cambria" w:hAnsi="Cambria"/>
          <w:bCs/>
          <w:sz w:val="24"/>
          <w:szCs w:val="24"/>
        </w:rPr>
        <w:t xml:space="preserve">staff </w:t>
      </w:r>
      <w:r w:rsidR="00113796">
        <w:rPr>
          <w:rFonts w:ascii="Cambria" w:hAnsi="Cambria"/>
          <w:bCs/>
          <w:sz w:val="24"/>
          <w:szCs w:val="24"/>
        </w:rPr>
        <w:t>(</w:t>
      </w:r>
      <w:r w:rsidR="00FB187A">
        <w:rPr>
          <w:rFonts w:ascii="Cambria" w:hAnsi="Cambria"/>
          <w:bCs/>
          <w:sz w:val="24"/>
          <w:szCs w:val="24"/>
        </w:rPr>
        <w:t>eight</w:t>
      </w:r>
      <w:r w:rsidR="0077495C">
        <w:rPr>
          <w:rFonts w:ascii="Cambria" w:hAnsi="Cambria"/>
          <w:bCs/>
          <w:sz w:val="24"/>
          <w:szCs w:val="24"/>
        </w:rPr>
        <w:t xml:space="preserve"> </w:t>
      </w:r>
      <w:r w:rsidR="00E25EEC">
        <w:rPr>
          <w:rFonts w:ascii="Cambria" w:hAnsi="Cambria"/>
          <w:bCs/>
          <w:sz w:val="24"/>
          <w:szCs w:val="24"/>
        </w:rPr>
        <w:t>full-time employees</w:t>
      </w:r>
      <w:r w:rsidR="008738DB">
        <w:rPr>
          <w:rFonts w:ascii="Cambria" w:hAnsi="Cambria"/>
          <w:bCs/>
          <w:sz w:val="24"/>
          <w:szCs w:val="24"/>
        </w:rPr>
        <w:t xml:space="preserve"> </w:t>
      </w:r>
      <w:r w:rsidRPr="00113796">
        <w:rPr>
          <w:rFonts w:ascii="Cambria" w:hAnsi="Cambria"/>
          <w:bCs/>
          <w:sz w:val="24"/>
          <w:szCs w:val="24"/>
        </w:rPr>
        <w:t>as</w:t>
      </w:r>
      <w:r w:rsidRPr="000C50CC">
        <w:rPr>
          <w:rFonts w:ascii="Cambria" w:hAnsi="Cambria"/>
          <w:bCs/>
          <w:sz w:val="24"/>
          <w:szCs w:val="24"/>
        </w:rPr>
        <w:t xml:space="preserve"> of the end of FY </w:t>
      </w:r>
      <w:r w:rsidR="0049075B">
        <w:rPr>
          <w:rFonts w:ascii="Cambria" w:hAnsi="Cambria"/>
          <w:bCs/>
          <w:sz w:val="24"/>
          <w:szCs w:val="24"/>
        </w:rPr>
        <w:t>2025</w:t>
      </w:r>
      <w:r w:rsidRPr="000C50CC">
        <w:rPr>
          <w:rFonts w:ascii="Cambria" w:hAnsi="Cambria"/>
          <w:bCs/>
          <w:sz w:val="24"/>
          <w:szCs w:val="24"/>
        </w:rPr>
        <w:t xml:space="preserve">) often work outside of their primary duties when necessary to accomplish operational responsibilities and support the mission. Operational responsibilities are divided into four key departments: human resources, </w:t>
      </w:r>
      <w:r>
        <w:rPr>
          <w:rFonts w:ascii="Cambria" w:hAnsi="Cambria"/>
          <w:bCs/>
          <w:sz w:val="24"/>
          <w:szCs w:val="24"/>
        </w:rPr>
        <w:t>financial management</w:t>
      </w:r>
      <w:r w:rsidRPr="000C50CC">
        <w:rPr>
          <w:rFonts w:ascii="Cambria" w:hAnsi="Cambria"/>
          <w:bCs/>
          <w:sz w:val="24"/>
          <w:szCs w:val="24"/>
        </w:rPr>
        <w:t>, information technology, and security.</w:t>
      </w:r>
    </w:p>
    <w:p w14:paraId="5C8D925F" w14:textId="2F7C7777" w:rsidR="00161A0F" w:rsidRPr="000C50CC" w:rsidRDefault="00161A0F" w:rsidP="00161A0F">
      <w:pPr>
        <w:spacing w:line="276" w:lineRule="auto"/>
        <w:jc w:val="both"/>
        <w:rPr>
          <w:rFonts w:ascii="Cambria" w:hAnsi="Cambria"/>
          <w:b/>
          <w:bCs/>
          <w:sz w:val="24"/>
          <w:szCs w:val="24"/>
        </w:rPr>
      </w:pPr>
      <w:bookmarkStart w:id="79" w:name="_Hlk148957798"/>
      <w:r w:rsidRPr="000C50CC">
        <w:rPr>
          <w:rFonts w:ascii="Cambria" w:hAnsi="Cambria"/>
          <w:b/>
          <w:bCs/>
          <w:sz w:val="24"/>
          <w:szCs w:val="24"/>
        </w:rPr>
        <w:t xml:space="preserve">FY </w:t>
      </w:r>
      <w:r w:rsidR="0049075B">
        <w:rPr>
          <w:rFonts w:ascii="Cambria" w:hAnsi="Cambria"/>
          <w:b/>
          <w:bCs/>
          <w:sz w:val="24"/>
          <w:szCs w:val="24"/>
        </w:rPr>
        <w:t>2025</w:t>
      </w:r>
      <w:r w:rsidRPr="000C50CC">
        <w:rPr>
          <w:rFonts w:ascii="Cambria" w:hAnsi="Cambria"/>
          <w:b/>
          <w:bCs/>
          <w:sz w:val="24"/>
          <w:szCs w:val="24"/>
        </w:rPr>
        <w:t xml:space="preserve"> Accomplishments</w:t>
      </w:r>
    </w:p>
    <w:bookmarkEnd w:id="79"/>
    <w:p w14:paraId="3E352CA4" w14:textId="74202154" w:rsidR="00161A0F" w:rsidRPr="000C50CC" w:rsidRDefault="00161A0F" w:rsidP="00161A0F">
      <w:pPr>
        <w:spacing w:line="276" w:lineRule="auto"/>
        <w:jc w:val="both"/>
        <w:rPr>
          <w:rFonts w:ascii="Cambria" w:hAnsi="Cambria"/>
          <w:b/>
          <w:sz w:val="24"/>
          <w:szCs w:val="24"/>
          <w:u w:val="single"/>
        </w:rPr>
      </w:pPr>
      <w:r w:rsidRPr="000C50CC">
        <w:rPr>
          <w:rFonts w:ascii="Cambria" w:hAnsi="Cambria"/>
          <w:b/>
          <w:sz w:val="24"/>
          <w:szCs w:val="24"/>
          <w:u w:val="single"/>
        </w:rPr>
        <w:t>Human Resources and Workforce Management</w:t>
      </w:r>
    </w:p>
    <w:p w14:paraId="0D8E8E9D" w14:textId="34201321" w:rsidR="00161A0F" w:rsidRPr="000C50CC" w:rsidRDefault="00161A0F" w:rsidP="00182D44">
      <w:pPr>
        <w:keepNext/>
        <w:keepLines/>
        <w:numPr>
          <w:ilvl w:val="0"/>
          <w:numId w:val="13"/>
        </w:numPr>
        <w:spacing w:before="240" w:line="276" w:lineRule="auto"/>
        <w:jc w:val="both"/>
        <w:rPr>
          <w:rFonts w:ascii="Cambria" w:hAnsi="Cambria"/>
          <w:bCs/>
          <w:sz w:val="24"/>
          <w:szCs w:val="24"/>
        </w:rPr>
      </w:pPr>
      <w:r w:rsidRPr="000C50CC">
        <w:rPr>
          <w:rFonts w:ascii="Cambria" w:hAnsi="Cambria"/>
          <w:b/>
          <w:sz w:val="24"/>
          <w:szCs w:val="24"/>
        </w:rPr>
        <w:t>Efforts to Retain Qualified Staff</w:t>
      </w:r>
      <w:r w:rsidRPr="000C50CC">
        <w:rPr>
          <w:rFonts w:ascii="Cambria" w:hAnsi="Cambria"/>
          <w:bCs/>
          <w:sz w:val="24"/>
          <w:szCs w:val="24"/>
        </w:rPr>
        <w:t xml:space="preserve">. </w:t>
      </w:r>
    </w:p>
    <w:p w14:paraId="30FBDCFC" w14:textId="6261F91E" w:rsidR="00161A0F" w:rsidRDefault="00DD5141" w:rsidP="00161A0F">
      <w:pPr>
        <w:numPr>
          <w:ilvl w:val="0"/>
          <w:numId w:val="14"/>
        </w:numPr>
        <w:spacing w:before="120" w:line="276" w:lineRule="auto"/>
        <w:ind w:left="1080"/>
        <w:jc w:val="both"/>
        <w:rPr>
          <w:rFonts w:ascii="Cambria" w:hAnsi="Cambria"/>
          <w:bCs/>
          <w:sz w:val="24"/>
          <w:szCs w:val="24"/>
        </w:rPr>
      </w:pPr>
      <w:r>
        <w:rPr>
          <w:rFonts w:ascii="Cambria" w:hAnsi="Cambria"/>
          <w:bCs/>
          <w:i/>
          <w:iCs/>
          <w:sz w:val="24"/>
          <w:szCs w:val="24"/>
        </w:rPr>
        <w:t>Continued I</w:t>
      </w:r>
      <w:r w:rsidR="00161A0F" w:rsidRPr="000C50CC">
        <w:rPr>
          <w:rFonts w:ascii="Cambria" w:hAnsi="Cambria"/>
          <w:bCs/>
          <w:i/>
          <w:iCs/>
          <w:sz w:val="24"/>
          <w:szCs w:val="24"/>
        </w:rPr>
        <w:t xml:space="preserve">mplementation of Recruitment and Retention Incentive </w:t>
      </w:r>
      <w:r w:rsidR="00C44F38" w:rsidRPr="000C50CC">
        <w:rPr>
          <w:rFonts w:ascii="Cambria" w:hAnsi="Cambria"/>
          <w:bCs/>
          <w:i/>
          <w:iCs/>
          <w:sz w:val="24"/>
          <w:szCs w:val="24"/>
        </w:rPr>
        <w:t>P</w:t>
      </w:r>
      <w:r w:rsidR="00C44F38">
        <w:rPr>
          <w:rFonts w:ascii="Cambria" w:hAnsi="Cambria"/>
          <w:bCs/>
          <w:i/>
          <w:iCs/>
          <w:sz w:val="24"/>
          <w:szCs w:val="24"/>
        </w:rPr>
        <w:t>olicy</w:t>
      </w:r>
      <w:r w:rsidR="00161A0F" w:rsidRPr="000C50CC">
        <w:rPr>
          <w:rFonts w:ascii="Cambria" w:hAnsi="Cambria"/>
          <w:bCs/>
          <w:i/>
          <w:iCs/>
          <w:sz w:val="24"/>
          <w:szCs w:val="24"/>
        </w:rPr>
        <w:t>.</w:t>
      </w:r>
      <w:r w:rsidR="00161A0F" w:rsidRPr="000C50CC">
        <w:rPr>
          <w:rFonts w:ascii="Cambria" w:hAnsi="Cambria"/>
          <w:sz w:val="24"/>
          <w:szCs w:val="24"/>
        </w:rPr>
        <w:t xml:space="preserve"> </w:t>
      </w:r>
      <w:r w:rsidR="00161A0F">
        <w:rPr>
          <w:rFonts w:ascii="Cambria" w:hAnsi="Cambria"/>
          <w:bCs/>
          <w:sz w:val="24"/>
          <w:szCs w:val="24"/>
        </w:rPr>
        <w:t>A</w:t>
      </w:r>
      <w:r w:rsidR="00161A0F" w:rsidRPr="000C50CC">
        <w:rPr>
          <w:rFonts w:ascii="Cambria" w:hAnsi="Cambria"/>
          <w:bCs/>
          <w:sz w:val="24"/>
          <w:szCs w:val="24"/>
        </w:rPr>
        <w:t xml:space="preserve"> </w:t>
      </w:r>
      <w:r>
        <w:rPr>
          <w:rFonts w:ascii="Cambria" w:hAnsi="Cambria"/>
          <w:bCs/>
          <w:sz w:val="24"/>
          <w:szCs w:val="24"/>
        </w:rPr>
        <w:t xml:space="preserve">Board-approved </w:t>
      </w:r>
      <w:r w:rsidR="00161A0F" w:rsidRPr="000C50CC">
        <w:rPr>
          <w:rFonts w:ascii="Cambria" w:hAnsi="Cambria"/>
          <w:bCs/>
          <w:sz w:val="24"/>
          <w:szCs w:val="24"/>
        </w:rPr>
        <w:t xml:space="preserve">recruitment and retention incentive </w:t>
      </w:r>
      <w:r w:rsidR="00C44F38">
        <w:rPr>
          <w:rFonts w:ascii="Cambria" w:hAnsi="Cambria"/>
          <w:bCs/>
          <w:sz w:val="24"/>
          <w:szCs w:val="24"/>
        </w:rPr>
        <w:t>policy</w:t>
      </w:r>
      <w:r w:rsidR="00C44F38" w:rsidRPr="000C50CC">
        <w:rPr>
          <w:rFonts w:ascii="Cambria" w:hAnsi="Cambria"/>
          <w:bCs/>
          <w:sz w:val="24"/>
          <w:szCs w:val="24"/>
        </w:rPr>
        <w:t xml:space="preserve"> </w:t>
      </w:r>
      <w:r>
        <w:rPr>
          <w:rFonts w:ascii="Cambria" w:hAnsi="Cambria"/>
          <w:bCs/>
          <w:sz w:val="24"/>
          <w:szCs w:val="24"/>
        </w:rPr>
        <w:t xml:space="preserve">continued to </w:t>
      </w:r>
      <w:r w:rsidR="00B05E57">
        <w:rPr>
          <w:rFonts w:ascii="Cambria" w:hAnsi="Cambria"/>
          <w:bCs/>
          <w:sz w:val="24"/>
          <w:szCs w:val="24"/>
        </w:rPr>
        <w:t xml:space="preserve">be </w:t>
      </w:r>
      <w:r w:rsidR="00335ADA">
        <w:rPr>
          <w:rFonts w:ascii="Cambria" w:hAnsi="Cambria"/>
          <w:bCs/>
          <w:sz w:val="24"/>
          <w:szCs w:val="24"/>
        </w:rPr>
        <w:t xml:space="preserve">used </w:t>
      </w:r>
      <w:r w:rsidR="00B05E57">
        <w:rPr>
          <w:rFonts w:ascii="Cambria" w:hAnsi="Cambria"/>
          <w:bCs/>
          <w:sz w:val="24"/>
          <w:szCs w:val="24"/>
        </w:rPr>
        <w:t xml:space="preserve">to </w:t>
      </w:r>
      <w:r w:rsidR="00161A0F" w:rsidRPr="000C50CC">
        <w:rPr>
          <w:rFonts w:ascii="Cambria" w:hAnsi="Cambria"/>
          <w:bCs/>
          <w:sz w:val="24"/>
          <w:szCs w:val="24"/>
        </w:rPr>
        <w:t>retain employees deemed critical to the agency</w:t>
      </w:r>
      <w:r w:rsidR="00335ADA">
        <w:rPr>
          <w:rFonts w:ascii="Cambria" w:hAnsi="Cambria"/>
          <w:bCs/>
          <w:sz w:val="24"/>
          <w:szCs w:val="24"/>
        </w:rPr>
        <w:t>’</w:t>
      </w:r>
      <w:r w:rsidR="00161A0F" w:rsidRPr="000C50CC">
        <w:rPr>
          <w:rFonts w:ascii="Cambria" w:hAnsi="Cambria"/>
          <w:bCs/>
          <w:sz w:val="24"/>
          <w:szCs w:val="24"/>
        </w:rPr>
        <w:t>s mission</w:t>
      </w:r>
      <w:r w:rsidR="00B05E57">
        <w:rPr>
          <w:rFonts w:ascii="Cambria" w:hAnsi="Cambria"/>
          <w:bCs/>
          <w:sz w:val="24"/>
          <w:szCs w:val="24"/>
        </w:rPr>
        <w:t>.</w:t>
      </w:r>
      <w:r w:rsidR="00161A0F" w:rsidRPr="000C50CC">
        <w:rPr>
          <w:rFonts w:ascii="Cambria" w:hAnsi="Cambria"/>
          <w:bCs/>
          <w:sz w:val="24"/>
          <w:szCs w:val="24"/>
        </w:rPr>
        <w:t xml:space="preserve"> </w:t>
      </w:r>
    </w:p>
    <w:p w14:paraId="0652622E" w14:textId="68C241BB" w:rsidR="00161A0F" w:rsidRPr="000C50CC" w:rsidRDefault="00161A0F" w:rsidP="00161A0F">
      <w:pPr>
        <w:numPr>
          <w:ilvl w:val="0"/>
          <w:numId w:val="14"/>
        </w:numPr>
        <w:spacing w:before="120" w:line="276" w:lineRule="auto"/>
        <w:ind w:left="1080"/>
        <w:jc w:val="both"/>
        <w:rPr>
          <w:rFonts w:ascii="Cambria" w:hAnsi="Cambria"/>
          <w:bCs/>
          <w:i/>
          <w:iCs/>
          <w:sz w:val="24"/>
          <w:szCs w:val="24"/>
        </w:rPr>
      </w:pPr>
      <w:r w:rsidRPr="000C50CC">
        <w:rPr>
          <w:rFonts w:ascii="Cambria" w:hAnsi="Cambria"/>
          <w:bCs/>
          <w:i/>
          <w:iCs/>
          <w:sz w:val="24"/>
          <w:szCs w:val="24"/>
        </w:rPr>
        <w:t>PCLOB Enrichment Day</w:t>
      </w:r>
      <w:r w:rsidR="000C632C">
        <w:rPr>
          <w:rFonts w:ascii="Cambria" w:hAnsi="Cambria"/>
          <w:bCs/>
          <w:i/>
          <w:iCs/>
          <w:sz w:val="24"/>
          <w:szCs w:val="24"/>
        </w:rPr>
        <w:t>s</w:t>
      </w:r>
      <w:r w:rsidRPr="000C50CC">
        <w:rPr>
          <w:rFonts w:ascii="Cambria" w:hAnsi="Cambria"/>
          <w:bCs/>
          <w:i/>
          <w:iCs/>
          <w:sz w:val="24"/>
          <w:szCs w:val="24"/>
        </w:rPr>
        <w:t>.</w:t>
      </w:r>
      <w:r w:rsidR="000C632C">
        <w:rPr>
          <w:rFonts w:ascii="Cambria" w:hAnsi="Cambria"/>
          <w:bCs/>
          <w:sz w:val="24"/>
          <w:szCs w:val="24"/>
        </w:rPr>
        <w:t xml:space="preserve"> S</w:t>
      </w:r>
      <w:r w:rsidRPr="000C50CC">
        <w:rPr>
          <w:rFonts w:ascii="Cambria" w:hAnsi="Cambria"/>
          <w:bCs/>
          <w:sz w:val="24"/>
          <w:szCs w:val="24"/>
        </w:rPr>
        <w:t>taff came together for off-si</w:t>
      </w:r>
      <w:r>
        <w:rPr>
          <w:rFonts w:ascii="Cambria" w:hAnsi="Cambria"/>
          <w:bCs/>
          <w:sz w:val="24"/>
          <w:szCs w:val="24"/>
        </w:rPr>
        <w:t>te</w:t>
      </w:r>
      <w:r w:rsidRPr="000C50CC">
        <w:rPr>
          <w:rFonts w:ascii="Cambria" w:hAnsi="Cambria"/>
          <w:bCs/>
          <w:sz w:val="24"/>
          <w:szCs w:val="24"/>
        </w:rPr>
        <w:t xml:space="preserve"> team building</w:t>
      </w:r>
      <w:r>
        <w:rPr>
          <w:rFonts w:ascii="Cambria" w:hAnsi="Cambria"/>
          <w:bCs/>
          <w:sz w:val="24"/>
          <w:szCs w:val="24"/>
        </w:rPr>
        <w:t xml:space="preserve"> and</w:t>
      </w:r>
      <w:r w:rsidRPr="000C50CC">
        <w:rPr>
          <w:rFonts w:ascii="Cambria" w:hAnsi="Cambria"/>
          <w:bCs/>
          <w:sz w:val="24"/>
          <w:szCs w:val="24"/>
        </w:rPr>
        <w:t xml:space="preserve"> recognition</w:t>
      </w:r>
      <w:r w:rsidR="006B4814">
        <w:rPr>
          <w:rFonts w:ascii="Cambria" w:hAnsi="Cambria"/>
          <w:bCs/>
          <w:sz w:val="24"/>
          <w:szCs w:val="24"/>
        </w:rPr>
        <w:t xml:space="preserve"> event</w:t>
      </w:r>
      <w:r w:rsidR="000C632C">
        <w:rPr>
          <w:rFonts w:ascii="Cambria" w:hAnsi="Cambria"/>
          <w:bCs/>
          <w:sz w:val="24"/>
          <w:szCs w:val="24"/>
        </w:rPr>
        <w:t>s</w:t>
      </w:r>
      <w:r w:rsidRPr="000C50CC">
        <w:rPr>
          <w:rFonts w:ascii="Cambria" w:hAnsi="Cambria"/>
          <w:bCs/>
          <w:sz w:val="24"/>
          <w:szCs w:val="24"/>
        </w:rPr>
        <w:t xml:space="preserve"> in a</w:t>
      </w:r>
      <w:r>
        <w:rPr>
          <w:rFonts w:ascii="Cambria" w:hAnsi="Cambria"/>
          <w:bCs/>
          <w:sz w:val="24"/>
          <w:szCs w:val="24"/>
        </w:rPr>
        <w:t xml:space="preserve"> </w:t>
      </w:r>
      <w:r w:rsidR="00DD5141">
        <w:rPr>
          <w:rFonts w:ascii="Cambria" w:hAnsi="Cambria"/>
          <w:bCs/>
          <w:sz w:val="24"/>
          <w:szCs w:val="24"/>
        </w:rPr>
        <w:t>continued</w:t>
      </w:r>
      <w:r w:rsidR="00DD5141" w:rsidRPr="000C50CC">
        <w:rPr>
          <w:rFonts w:ascii="Cambria" w:hAnsi="Cambria"/>
          <w:bCs/>
          <w:sz w:val="24"/>
          <w:szCs w:val="24"/>
        </w:rPr>
        <w:t xml:space="preserve"> </w:t>
      </w:r>
      <w:r w:rsidRPr="000C50CC">
        <w:rPr>
          <w:rFonts w:ascii="Cambria" w:hAnsi="Cambria"/>
          <w:bCs/>
          <w:sz w:val="24"/>
          <w:szCs w:val="24"/>
        </w:rPr>
        <w:t xml:space="preserve">effort to boost employee </w:t>
      </w:r>
      <w:r w:rsidR="00B05E57">
        <w:rPr>
          <w:rFonts w:ascii="Cambria" w:hAnsi="Cambria"/>
          <w:bCs/>
          <w:sz w:val="24"/>
          <w:szCs w:val="24"/>
        </w:rPr>
        <w:t>morale.</w:t>
      </w:r>
      <w:r w:rsidRPr="000C50CC">
        <w:rPr>
          <w:rFonts w:ascii="Cambria" w:hAnsi="Cambria"/>
          <w:bCs/>
          <w:sz w:val="24"/>
          <w:szCs w:val="24"/>
        </w:rPr>
        <w:t xml:space="preserve">  </w:t>
      </w:r>
    </w:p>
    <w:p w14:paraId="4B4AE4B9" w14:textId="39D6A278" w:rsidR="00C6317B" w:rsidRPr="00C6317B" w:rsidRDefault="00161A0F" w:rsidP="00EE3EAB">
      <w:pPr>
        <w:numPr>
          <w:ilvl w:val="0"/>
          <w:numId w:val="19"/>
        </w:numPr>
        <w:spacing w:before="120" w:line="276" w:lineRule="auto"/>
        <w:ind w:left="720"/>
        <w:jc w:val="both"/>
        <w:rPr>
          <w:rFonts w:ascii="Cambria" w:hAnsi="Cambria"/>
          <w:bCs/>
          <w:sz w:val="24"/>
          <w:szCs w:val="24"/>
        </w:rPr>
      </w:pPr>
      <w:r w:rsidRPr="000C50CC">
        <w:rPr>
          <w:rFonts w:ascii="Cambria" w:hAnsi="Cambria"/>
          <w:b/>
          <w:sz w:val="24"/>
          <w:szCs w:val="24"/>
        </w:rPr>
        <w:t xml:space="preserve">Efforts to Comply with Executive Orders and Enhance the Workforce. </w:t>
      </w:r>
      <w:r w:rsidR="000C111D">
        <w:rPr>
          <w:rFonts w:ascii="Cambria" w:hAnsi="Cambria"/>
          <w:bCs/>
          <w:sz w:val="24"/>
          <w:szCs w:val="24"/>
        </w:rPr>
        <w:t xml:space="preserve">The agency’s small staff has diligently worked to track and comply with all executive orders, policies, and memoranda. During this process, PCLOB leadership and operations staff have </w:t>
      </w:r>
      <w:r w:rsidR="00A73374">
        <w:rPr>
          <w:rFonts w:ascii="Cambria" w:hAnsi="Cambria"/>
          <w:bCs/>
          <w:sz w:val="24"/>
          <w:szCs w:val="24"/>
        </w:rPr>
        <w:t xml:space="preserve">analyzed and reviewed current </w:t>
      </w:r>
      <w:r w:rsidR="00D675E5">
        <w:rPr>
          <w:rFonts w:ascii="Cambria" w:hAnsi="Cambria"/>
          <w:bCs/>
          <w:sz w:val="24"/>
          <w:szCs w:val="24"/>
        </w:rPr>
        <w:t>procedures</w:t>
      </w:r>
      <w:r w:rsidR="00A73374">
        <w:rPr>
          <w:rFonts w:ascii="Cambria" w:hAnsi="Cambria"/>
          <w:bCs/>
          <w:sz w:val="24"/>
          <w:szCs w:val="24"/>
        </w:rPr>
        <w:t xml:space="preserve">, and, as necessary, </w:t>
      </w:r>
      <w:r w:rsidR="000C111D">
        <w:rPr>
          <w:rFonts w:ascii="Cambria" w:hAnsi="Cambria"/>
          <w:bCs/>
          <w:sz w:val="24"/>
          <w:szCs w:val="24"/>
        </w:rPr>
        <w:t>developed plans</w:t>
      </w:r>
      <w:r w:rsidR="00A73374">
        <w:rPr>
          <w:rFonts w:ascii="Cambria" w:hAnsi="Cambria"/>
          <w:bCs/>
          <w:sz w:val="24"/>
          <w:szCs w:val="24"/>
        </w:rPr>
        <w:t xml:space="preserve"> for implementation to align with the President’s agenda. Some significant areas of focus include</w:t>
      </w:r>
      <w:r w:rsidR="00664B43">
        <w:rPr>
          <w:rFonts w:ascii="Cambria" w:hAnsi="Cambria"/>
          <w:bCs/>
          <w:sz w:val="24"/>
          <w:szCs w:val="24"/>
        </w:rPr>
        <w:t>,</w:t>
      </w:r>
      <w:r w:rsidR="000C111D">
        <w:rPr>
          <w:rFonts w:ascii="Cambria" w:hAnsi="Cambria"/>
          <w:bCs/>
          <w:sz w:val="24"/>
          <w:szCs w:val="24"/>
        </w:rPr>
        <w:t xml:space="preserve"> but are not limited to</w:t>
      </w:r>
      <w:r w:rsidR="00664B43">
        <w:rPr>
          <w:rFonts w:ascii="Cambria" w:hAnsi="Cambria"/>
          <w:bCs/>
          <w:sz w:val="24"/>
          <w:szCs w:val="24"/>
        </w:rPr>
        <w:t>,</w:t>
      </w:r>
      <w:r w:rsidR="000C111D">
        <w:rPr>
          <w:rFonts w:ascii="Cambria" w:hAnsi="Cambria"/>
          <w:bCs/>
          <w:sz w:val="24"/>
          <w:szCs w:val="24"/>
        </w:rPr>
        <w:t xml:space="preserve"> </w:t>
      </w:r>
      <w:r w:rsidR="00A73374">
        <w:rPr>
          <w:rFonts w:ascii="Cambria" w:hAnsi="Cambria"/>
          <w:bCs/>
          <w:sz w:val="24"/>
          <w:szCs w:val="24"/>
        </w:rPr>
        <w:t xml:space="preserve">agency staffing </w:t>
      </w:r>
      <w:r w:rsidR="000C111D">
        <w:rPr>
          <w:rFonts w:ascii="Cambria" w:hAnsi="Cambria"/>
          <w:bCs/>
          <w:sz w:val="24"/>
          <w:szCs w:val="24"/>
        </w:rPr>
        <w:t xml:space="preserve">reorganization, hiring </w:t>
      </w:r>
      <w:r w:rsidR="00A73374">
        <w:rPr>
          <w:rFonts w:ascii="Cambria" w:hAnsi="Cambria"/>
          <w:bCs/>
          <w:sz w:val="24"/>
          <w:szCs w:val="24"/>
        </w:rPr>
        <w:t xml:space="preserve">and probationary staff processing </w:t>
      </w:r>
      <w:r w:rsidR="000C111D">
        <w:rPr>
          <w:rFonts w:ascii="Cambria" w:hAnsi="Cambria"/>
          <w:bCs/>
          <w:sz w:val="24"/>
          <w:szCs w:val="24"/>
        </w:rPr>
        <w:t>procedures</w:t>
      </w:r>
      <w:r w:rsidR="00A73374">
        <w:rPr>
          <w:rFonts w:ascii="Cambria" w:hAnsi="Cambria"/>
          <w:bCs/>
          <w:sz w:val="24"/>
          <w:szCs w:val="24"/>
        </w:rPr>
        <w:t>, and performance management.</w:t>
      </w:r>
    </w:p>
    <w:p w14:paraId="0A494DA4" w14:textId="77777777" w:rsidR="00161A0F" w:rsidRPr="000C50CC" w:rsidRDefault="00161A0F" w:rsidP="00EE3EAB">
      <w:pPr>
        <w:keepNext/>
        <w:keepLines/>
        <w:spacing w:before="120" w:after="0" w:line="276" w:lineRule="auto"/>
        <w:ind w:left="360"/>
        <w:jc w:val="both"/>
        <w:rPr>
          <w:rFonts w:ascii="Cambria" w:hAnsi="Cambria"/>
          <w:b/>
          <w:sz w:val="24"/>
          <w:szCs w:val="24"/>
          <w:u w:val="single"/>
        </w:rPr>
      </w:pPr>
      <w:r w:rsidRPr="000C50CC">
        <w:rPr>
          <w:rFonts w:ascii="Cambria" w:hAnsi="Cambria"/>
          <w:b/>
          <w:sz w:val="24"/>
          <w:szCs w:val="24"/>
          <w:u w:val="single"/>
        </w:rPr>
        <w:lastRenderedPageBreak/>
        <w:t>Fina</w:t>
      </w:r>
      <w:r>
        <w:rPr>
          <w:rFonts w:ascii="Cambria" w:hAnsi="Cambria"/>
          <w:b/>
          <w:sz w:val="24"/>
          <w:szCs w:val="24"/>
          <w:u w:val="single"/>
        </w:rPr>
        <w:t>ncial Management</w:t>
      </w:r>
    </w:p>
    <w:p w14:paraId="3934405B" w14:textId="265A8D93" w:rsidR="00161A0F" w:rsidRPr="000C50CC" w:rsidRDefault="0087715B" w:rsidP="00EE3EAB">
      <w:pPr>
        <w:keepNext/>
        <w:keepLines/>
        <w:numPr>
          <w:ilvl w:val="0"/>
          <w:numId w:val="15"/>
        </w:numPr>
        <w:spacing w:before="240" w:line="276" w:lineRule="auto"/>
        <w:jc w:val="both"/>
        <w:rPr>
          <w:rFonts w:ascii="Cambria" w:hAnsi="Cambria"/>
          <w:i/>
          <w:iCs/>
          <w:sz w:val="24"/>
          <w:szCs w:val="24"/>
        </w:rPr>
      </w:pPr>
      <w:r>
        <w:rPr>
          <w:rFonts w:ascii="Cambria" w:hAnsi="Cambria"/>
          <w:i/>
          <w:iCs/>
          <w:noProof/>
          <w:sz w:val="24"/>
          <w:szCs w:val="24"/>
        </w:rPr>
        <w:drawing>
          <wp:anchor distT="0" distB="0" distL="114300" distR="114300" simplePos="0" relativeHeight="252147200" behindDoc="0" locked="0" layoutInCell="1" allowOverlap="1" wp14:anchorId="1BC6ACB9" wp14:editId="3DFA7502">
            <wp:simplePos x="0" y="0"/>
            <wp:positionH relativeFrom="column">
              <wp:posOffset>3933190</wp:posOffset>
            </wp:positionH>
            <wp:positionV relativeFrom="paragraph">
              <wp:posOffset>2867396</wp:posOffset>
            </wp:positionV>
            <wp:extent cx="2005234" cy="1466310"/>
            <wp:effectExtent l="57150" t="57150" r="90805" b="95885"/>
            <wp:wrapSquare wrapText="bothSides"/>
            <wp:docPr id="1169551988" name="Picture 74" descr="A group of people holding a plaq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51988" name="Picture 74" descr="A group of people holding a plaque&#10;&#10;AI-generated content may be incorrect."/>
                    <pic:cNvPicPr/>
                  </pic:nvPicPr>
                  <pic:blipFill rotWithShape="1">
                    <a:blip r:embed="rId75" cstate="print">
                      <a:extLst>
                        <a:ext uri="{28A0092B-C50C-407E-A947-70E740481C1C}">
                          <a14:useLocalDpi xmlns:a14="http://schemas.microsoft.com/office/drawing/2010/main" val="0"/>
                        </a:ext>
                      </a:extLst>
                    </a:blip>
                    <a:srcRect l="7645" t="12391" r="12538"/>
                    <a:stretch>
                      <a:fillRect/>
                    </a:stretch>
                  </pic:blipFill>
                  <pic:spPr bwMode="auto">
                    <a:xfrm>
                      <a:off x="0" y="0"/>
                      <a:ext cx="2005234" cy="146631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A0F" w:rsidRPr="000C50CC">
        <w:rPr>
          <w:rFonts w:ascii="Cambria" w:hAnsi="Cambria"/>
          <w:b/>
          <w:bCs/>
          <w:sz w:val="24"/>
          <w:szCs w:val="24"/>
        </w:rPr>
        <w:t>Continued Implementation of G-</w:t>
      </w:r>
      <w:r w:rsidR="006B4814">
        <w:rPr>
          <w:rFonts w:ascii="Cambria" w:hAnsi="Cambria"/>
          <w:b/>
          <w:bCs/>
          <w:sz w:val="24"/>
          <w:szCs w:val="24"/>
        </w:rPr>
        <w:t>I</w:t>
      </w:r>
      <w:r w:rsidR="00161A0F" w:rsidRPr="000C50CC">
        <w:rPr>
          <w:rFonts w:ascii="Cambria" w:hAnsi="Cambria"/>
          <w:b/>
          <w:bCs/>
          <w:sz w:val="24"/>
          <w:szCs w:val="24"/>
        </w:rPr>
        <w:t xml:space="preserve">nvoicing. </w:t>
      </w:r>
      <w:r w:rsidR="00810ED6">
        <w:rPr>
          <w:rFonts w:ascii="Cambria" w:hAnsi="Cambria"/>
          <w:sz w:val="24"/>
          <w:szCs w:val="24"/>
        </w:rPr>
        <w:t>E</w:t>
      </w:r>
      <w:r w:rsidR="00810ED6" w:rsidRPr="000C50CC">
        <w:rPr>
          <w:rFonts w:ascii="Cambria" w:hAnsi="Cambria"/>
          <w:sz w:val="24"/>
          <w:szCs w:val="24"/>
        </w:rPr>
        <w:t xml:space="preserve">fforts </w:t>
      </w:r>
      <w:r w:rsidR="00810ED6">
        <w:rPr>
          <w:rFonts w:ascii="Cambria" w:hAnsi="Cambria"/>
          <w:sz w:val="24"/>
          <w:szCs w:val="24"/>
        </w:rPr>
        <w:t xml:space="preserve">to </w:t>
      </w:r>
      <w:r w:rsidR="00161A0F" w:rsidRPr="000C50CC">
        <w:rPr>
          <w:rFonts w:ascii="Cambria" w:hAnsi="Cambria"/>
          <w:sz w:val="24"/>
          <w:szCs w:val="24"/>
        </w:rPr>
        <w:t xml:space="preserve">manage </w:t>
      </w:r>
      <w:r w:rsidR="00810ED6">
        <w:rPr>
          <w:rFonts w:ascii="Cambria" w:hAnsi="Cambria"/>
          <w:sz w:val="24"/>
          <w:szCs w:val="24"/>
        </w:rPr>
        <w:t xml:space="preserve">as many </w:t>
      </w:r>
      <w:r w:rsidR="00161A0F" w:rsidRPr="000C50CC">
        <w:rPr>
          <w:rFonts w:ascii="Cambria" w:hAnsi="Cambria"/>
          <w:sz w:val="24"/>
          <w:szCs w:val="24"/>
        </w:rPr>
        <w:t>of its agreements with federal trading partners</w:t>
      </w:r>
      <w:r w:rsidR="00810ED6">
        <w:rPr>
          <w:rFonts w:ascii="Cambria" w:hAnsi="Cambria"/>
          <w:sz w:val="24"/>
          <w:szCs w:val="24"/>
        </w:rPr>
        <w:t xml:space="preserve"> in G-invoicing</w:t>
      </w:r>
      <w:r w:rsidR="00161A0F" w:rsidRPr="000C50CC">
        <w:rPr>
          <w:rFonts w:ascii="Cambria" w:hAnsi="Cambria"/>
          <w:sz w:val="24"/>
          <w:szCs w:val="24"/>
        </w:rPr>
        <w:t>, as mandated by Fiscal Service under the authority of 31 U.S.C. 3512(b) and 3513</w:t>
      </w:r>
      <w:r w:rsidR="00810ED6">
        <w:rPr>
          <w:rFonts w:ascii="Cambria" w:hAnsi="Cambria"/>
          <w:sz w:val="24"/>
          <w:szCs w:val="24"/>
        </w:rPr>
        <w:t xml:space="preserve">, </w:t>
      </w:r>
      <w:r w:rsidR="00161A0F" w:rsidRPr="000C50CC">
        <w:rPr>
          <w:rFonts w:ascii="Cambria" w:hAnsi="Cambria"/>
          <w:sz w:val="24"/>
          <w:szCs w:val="24"/>
        </w:rPr>
        <w:t xml:space="preserve">continued into FY </w:t>
      </w:r>
      <w:r w:rsidR="0049075B">
        <w:rPr>
          <w:rFonts w:ascii="Cambria" w:hAnsi="Cambria"/>
          <w:sz w:val="24"/>
          <w:szCs w:val="24"/>
        </w:rPr>
        <w:t>2025</w:t>
      </w:r>
      <w:r w:rsidR="00161A0F" w:rsidRPr="000C50CC">
        <w:rPr>
          <w:rFonts w:ascii="Cambria" w:hAnsi="Cambria"/>
          <w:sz w:val="24"/>
          <w:szCs w:val="24"/>
        </w:rPr>
        <w:t xml:space="preserve"> as more federal trading partners became G-</w:t>
      </w:r>
      <w:r w:rsidR="006B4814">
        <w:rPr>
          <w:rFonts w:ascii="Cambria" w:hAnsi="Cambria"/>
          <w:sz w:val="24"/>
          <w:szCs w:val="24"/>
        </w:rPr>
        <w:t>I</w:t>
      </w:r>
      <w:r w:rsidR="00161A0F" w:rsidRPr="000C50CC">
        <w:rPr>
          <w:rFonts w:ascii="Cambria" w:hAnsi="Cambria"/>
          <w:sz w:val="24"/>
          <w:szCs w:val="24"/>
        </w:rPr>
        <w:t>nvoicing ready</w:t>
      </w:r>
      <w:r w:rsidR="00810ED6">
        <w:rPr>
          <w:rFonts w:ascii="Cambria" w:hAnsi="Cambria"/>
          <w:sz w:val="24"/>
          <w:szCs w:val="24"/>
        </w:rPr>
        <w:t xml:space="preserve">. </w:t>
      </w:r>
      <w:r w:rsidR="00161A0F" w:rsidRPr="000C50CC">
        <w:rPr>
          <w:rFonts w:ascii="Cambria" w:hAnsi="Cambria"/>
          <w:sz w:val="24"/>
          <w:szCs w:val="24"/>
        </w:rPr>
        <w:t>PCLOB entered into more agreements</w:t>
      </w:r>
      <w:r w:rsidR="00810ED6">
        <w:rPr>
          <w:rFonts w:ascii="Cambria" w:hAnsi="Cambria"/>
          <w:sz w:val="24"/>
          <w:szCs w:val="24"/>
        </w:rPr>
        <w:t xml:space="preserve"> in G-invoicing than </w:t>
      </w:r>
      <w:r w:rsidR="00E90909">
        <w:rPr>
          <w:rFonts w:ascii="Cambria" w:hAnsi="Cambria"/>
          <w:sz w:val="24"/>
          <w:szCs w:val="24"/>
        </w:rPr>
        <w:t>before</w:t>
      </w:r>
      <w:r w:rsidR="00161A0F" w:rsidRPr="000C50CC">
        <w:rPr>
          <w:rFonts w:ascii="Cambria" w:hAnsi="Cambria"/>
          <w:sz w:val="24"/>
          <w:szCs w:val="24"/>
        </w:rPr>
        <w:t xml:space="preserve">, allowing the agency to negotiate and accept General Terms and Conditions agreements, broker orders, exchange performance information, and validate settlement requests through </w:t>
      </w:r>
      <w:r w:rsidR="00161A0F" w:rsidRPr="00BB1DA1">
        <w:rPr>
          <w:rFonts w:ascii="Cambria" w:hAnsi="Cambria"/>
          <w:sz w:val="24"/>
          <w:szCs w:val="24"/>
        </w:rPr>
        <w:t xml:space="preserve">Intra-Governmental Payment and Collection </w:t>
      </w:r>
      <w:r w:rsidR="00161A0F">
        <w:rPr>
          <w:rFonts w:ascii="Cambria" w:hAnsi="Cambria"/>
          <w:sz w:val="24"/>
          <w:szCs w:val="24"/>
        </w:rPr>
        <w:t>(</w:t>
      </w:r>
      <w:r w:rsidR="00161A0F" w:rsidRPr="000C50CC">
        <w:rPr>
          <w:rFonts w:ascii="Cambria" w:hAnsi="Cambria"/>
          <w:sz w:val="24"/>
          <w:szCs w:val="24"/>
        </w:rPr>
        <w:t>IPAC</w:t>
      </w:r>
      <w:r w:rsidR="00161A0F">
        <w:rPr>
          <w:rFonts w:ascii="Cambria" w:hAnsi="Cambria"/>
          <w:sz w:val="24"/>
          <w:szCs w:val="24"/>
        </w:rPr>
        <w:t>)</w:t>
      </w:r>
      <w:r w:rsidR="00161A0F" w:rsidRPr="000C50CC">
        <w:rPr>
          <w:rFonts w:ascii="Cambria" w:hAnsi="Cambria"/>
          <w:sz w:val="24"/>
          <w:szCs w:val="24"/>
        </w:rPr>
        <w:t xml:space="preserve">. </w:t>
      </w:r>
      <w:r w:rsidR="00810ED6">
        <w:rPr>
          <w:rFonts w:ascii="Cambria" w:hAnsi="Cambria"/>
          <w:sz w:val="24"/>
          <w:szCs w:val="24"/>
        </w:rPr>
        <w:t>T</w:t>
      </w:r>
      <w:r w:rsidR="00161A0F" w:rsidRPr="000C50CC">
        <w:rPr>
          <w:rFonts w:ascii="Cambria" w:hAnsi="Cambria"/>
          <w:sz w:val="24"/>
          <w:szCs w:val="24"/>
        </w:rPr>
        <w:t>he agency looks forward to reaping the long-term benefits of G-</w:t>
      </w:r>
      <w:r w:rsidR="006B4814">
        <w:rPr>
          <w:rFonts w:ascii="Cambria" w:hAnsi="Cambria"/>
          <w:sz w:val="24"/>
          <w:szCs w:val="24"/>
        </w:rPr>
        <w:t>I</w:t>
      </w:r>
      <w:r w:rsidR="00161A0F" w:rsidRPr="000C50CC">
        <w:rPr>
          <w:rFonts w:ascii="Cambria" w:hAnsi="Cambria"/>
          <w:sz w:val="24"/>
          <w:szCs w:val="24"/>
        </w:rPr>
        <w:t>nvoicing, which include</w:t>
      </w:r>
      <w:r w:rsidR="00161A0F" w:rsidRPr="000C50CC">
        <w:t xml:space="preserve"> </w:t>
      </w:r>
      <w:r w:rsidR="00161A0F" w:rsidRPr="000C50CC">
        <w:rPr>
          <w:rFonts w:ascii="Cambria" w:hAnsi="Cambria"/>
          <w:sz w:val="24"/>
          <w:szCs w:val="24"/>
        </w:rPr>
        <w:t>better communication between trading partners; greater transparency to decrease differences between agencies; common data standards to reduce misunderstandings; agreed-upon processes to support timely and accurate accounting; and streamlined settlements of funds in IPAC for more timely and efficient settlements.</w:t>
      </w:r>
    </w:p>
    <w:p w14:paraId="2495AA3E" w14:textId="7D67FD42" w:rsidR="00161A0F" w:rsidRPr="004B19A8" w:rsidRDefault="00161A0F" w:rsidP="00182D44">
      <w:pPr>
        <w:numPr>
          <w:ilvl w:val="0"/>
          <w:numId w:val="15"/>
        </w:numPr>
        <w:spacing w:line="276" w:lineRule="auto"/>
        <w:jc w:val="both"/>
        <w:rPr>
          <w:rFonts w:ascii="Cambria" w:hAnsi="Cambria"/>
          <w:i/>
          <w:iCs/>
          <w:sz w:val="24"/>
          <w:szCs w:val="24"/>
        </w:rPr>
      </w:pPr>
      <w:r w:rsidRPr="000C50CC">
        <w:rPr>
          <w:rFonts w:ascii="Cambria" w:hAnsi="Cambria"/>
          <w:b/>
          <w:bCs/>
          <w:sz w:val="24"/>
          <w:szCs w:val="24"/>
        </w:rPr>
        <w:t>Excellence in Reporting.</w:t>
      </w:r>
      <w:r w:rsidRPr="000C50CC">
        <w:rPr>
          <w:rFonts w:ascii="Cambria" w:hAnsi="Cambria"/>
          <w:sz w:val="24"/>
          <w:szCs w:val="24"/>
        </w:rPr>
        <w:t xml:space="preserve"> In May </w:t>
      </w:r>
      <w:r w:rsidR="0049075B">
        <w:rPr>
          <w:rFonts w:ascii="Cambria" w:hAnsi="Cambria"/>
          <w:sz w:val="24"/>
          <w:szCs w:val="24"/>
        </w:rPr>
        <w:t>2025</w:t>
      </w:r>
      <w:r w:rsidRPr="000C50CC">
        <w:rPr>
          <w:rFonts w:ascii="Cambria" w:hAnsi="Cambria"/>
          <w:sz w:val="24"/>
          <w:szCs w:val="24"/>
        </w:rPr>
        <w:t xml:space="preserve">, PCLOB received its </w:t>
      </w:r>
      <w:r w:rsidR="000C632C">
        <w:rPr>
          <w:rFonts w:ascii="Cambria" w:hAnsi="Cambria"/>
          <w:sz w:val="24"/>
          <w:szCs w:val="24"/>
        </w:rPr>
        <w:t>third</w:t>
      </w:r>
      <w:r w:rsidR="000C632C" w:rsidRPr="000C50CC">
        <w:rPr>
          <w:rFonts w:ascii="Cambria" w:hAnsi="Cambria"/>
          <w:sz w:val="24"/>
          <w:szCs w:val="24"/>
        </w:rPr>
        <w:t xml:space="preserve"> </w:t>
      </w:r>
      <w:hyperlink r:id="rId76" w:history="1">
        <w:r w:rsidRPr="00207824">
          <w:rPr>
            <w:rStyle w:val="Hyperlink"/>
            <w:rFonts w:ascii="Cambria" w:hAnsi="Cambria"/>
            <w:sz w:val="24"/>
            <w:szCs w:val="24"/>
          </w:rPr>
          <w:t>CEAR award</w:t>
        </w:r>
      </w:hyperlink>
      <w:r w:rsidRPr="000C50CC">
        <w:rPr>
          <w:rFonts w:ascii="Cambria" w:hAnsi="Cambria"/>
          <w:sz w:val="24"/>
          <w:szCs w:val="24"/>
        </w:rPr>
        <w:t xml:space="preserve"> from the AGA. The AGA presents the esteemed CEAR award each year to federal agencies that produce high-quality Performance and Accountability Reports and AFRs. </w:t>
      </w:r>
    </w:p>
    <w:p w14:paraId="1CB0D56E" w14:textId="11EADEEF" w:rsidR="00161A0F" w:rsidRPr="004B19A8" w:rsidRDefault="000F0DD4" w:rsidP="00182D44">
      <w:pPr>
        <w:numPr>
          <w:ilvl w:val="0"/>
          <w:numId w:val="15"/>
        </w:numPr>
        <w:spacing w:line="276" w:lineRule="auto"/>
        <w:jc w:val="both"/>
        <w:rPr>
          <w:rFonts w:ascii="Cambria" w:hAnsi="Cambria"/>
          <w:bCs/>
          <w:sz w:val="24"/>
          <w:szCs w:val="24"/>
        </w:rPr>
      </w:pPr>
      <w:r>
        <w:rPr>
          <w:noProof/>
        </w:rPr>
        <mc:AlternateContent>
          <mc:Choice Requires="wps">
            <w:drawing>
              <wp:anchor distT="0" distB="0" distL="114300" distR="114300" simplePos="0" relativeHeight="252151296" behindDoc="0" locked="0" layoutInCell="1" allowOverlap="1" wp14:anchorId="64742A22" wp14:editId="077988A5">
                <wp:simplePos x="0" y="0"/>
                <wp:positionH relativeFrom="margin">
                  <wp:posOffset>3838575</wp:posOffset>
                </wp:positionH>
                <wp:positionV relativeFrom="paragraph">
                  <wp:posOffset>305171</wp:posOffset>
                </wp:positionV>
                <wp:extent cx="2154555" cy="457200"/>
                <wp:effectExtent l="0" t="0" r="0" b="0"/>
                <wp:wrapSquare wrapText="bothSides"/>
                <wp:docPr id="19783434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BFD8621" w14:textId="7AEE9755" w:rsidR="0087715B" w:rsidRPr="00AD7A93" w:rsidRDefault="0087715B" w:rsidP="0087715B">
                            <w:pPr>
                              <w:jc w:val="both"/>
                              <w:rPr>
                                <w:rFonts w:ascii="Cambria" w:hAnsi="Cambria"/>
                                <w:i/>
                                <w:iCs/>
                                <w:sz w:val="16"/>
                                <w:szCs w:val="16"/>
                              </w:rPr>
                            </w:pPr>
                            <w:r w:rsidRPr="00AD7A93">
                              <w:rPr>
                                <w:rFonts w:ascii="Cambria" w:hAnsi="Cambria"/>
                                <w:i/>
                                <w:iCs/>
                                <w:sz w:val="16"/>
                                <w:szCs w:val="16"/>
                              </w:rPr>
                              <w:t>A</w:t>
                            </w:r>
                            <w:r>
                              <w:rPr>
                                <w:rFonts w:ascii="Cambria" w:hAnsi="Cambria"/>
                                <w:i/>
                                <w:iCs/>
                                <w:sz w:val="16"/>
                                <w:szCs w:val="16"/>
                              </w:rPr>
                              <w:t>bove</w:t>
                            </w:r>
                            <w:r w:rsidRPr="00AD7A93">
                              <w:rPr>
                                <w:rFonts w:ascii="Cambria" w:hAnsi="Cambria"/>
                                <w:i/>
                                <w:iCs/>
                                <w:sz w:val="16"/>
                                <w:szCs w:val="16"/>
                              </w:rPr>
                              <w:t xml:space="preserve">: </w:t>
                            </w:r>
                            <w:r>
                              <w:rPr>
                                <w:rFonts w:ascii="Cambria" w:hAnsi="Cambria"/>
                                <w:i/>
                                <w:iCs/>
                                <w:sz w:val="16"/>
                                <w:szCs w:val="16"/>
                              </w:rPr>
                              <w:t>Members of PCLOB accepted the 2024 CEAR Award at the May 2025 AGA CEAR Awards Ceremony. Photo credit: AGA</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64742A22" id="_x0000_s1036" type="#_x0000_t202" style="position:absolute;left:0;text-align:left;margin-left:302.25pt;margin-top:24.05pt;width:169.65pt;height:36pt;z-index:25215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" filled="f" stroked="f" strokeweight="1pt">
                <v:textbox>
                  <w:txbxContent>
                    <w:p w14:paraId="6BFD8621" w14:textId="7AEE9755" w:rsidR="0087715B" w:rsidRPr="00AD7A93" w:rsidRDefault="0087715B" w:rsidP="0087715B">
                      <w:pPr>
                        <w:jc w:val="both"/>
                        <w:rPr>
                          <w:rFonts w:ascii="Cambria" w:hAnsi="Cambria"/>
                          <w:i/>
                          <w:iCs/>
                          <w:sz w:val="16"/>
                          <w:szCs w:val="16"/>
                        </w:rPr>
                      </w:pPr>
                      <w:r w:rsidRPr="00AD7A93">
                        <w:rPr>
                          <w:rFonts w:ascii="Cambria" w:hAnsi="Cambria"/>
                          <w:i/>
                          <w:iCs/>
                          <w:sz w:val="16"/>
                          <w:szCs w:val="16"/>
                        </w:rPr>
                        <w:t>A</w:t>
                      </w:r>
                      <w:r>
                        <w:rPr>
                          <w:rFonts w:ascii="Cambria" w:hAnsi="Cambria"/>
                          <w:i/>
                          <w:iCs/>
                          <w:sz w:val="16"/>
                          <w:szCs w:val="16"/>
                        </w:rPr>
                        <w:t>bove</w:t>
                      </w:r>
                      <w:r w:rsidRPr="00AD7A93">
                        <w:rPr>
                          <w:rFonts w:ascii="Cambria" w:hAnsi="Cambria"/>
                          <w:i/>
                          <w:iCs/>
                          <w:sz w:val="16"/>
                          <w:szCs w:val="16"/>
                        </w:rPr>
                        <w:t xml:space="preserve">: </w:t>
                      </w:r>
                      <w:r>
                        <w:rPr>
                          <w:rFonts w:ascii="Cambria" w:hAnsi="Cambria"/>
                          <w:i/>
                          <w:iCs/>
                          <w:sz w:val="16"/>
                          <w:szCs w:val="16"/>
                        </w:rPr>
                        <w:t>Members of PCLOB accepted the 2024 CEAR Award at the May 2025 AGA CEAR Awards Ceremony. Photo credit: AGA</w:t>
                      </w:r>
                    </w:p>
                  </w:txbxContent>
                </v:textbox>
                <w10:wrap type="square" anchorx="margin"/>
              </v:shape>
            </w:pict>
          </mc:Fallback>
        </mc:AlternateContent>
      </w:r>
      <w:r w:rsidR="00161A0F" w:rsidRPr="0033086C">
        <w:rPr>
          <w:rFonts w:ascii="Cambria" w:hAnsi="Cambria"/>
          <w:b/>
          <w:bCs/>
          <w:sz w:val="24"/>
          <w:szCs w:val="24"/>
        </w:rPr>
        <w:t xml:space="preserve">Maximized Efficiencies Through </w:t>
      </w:r>
      <w:r w:rsidR="00161A0F">
        <w:rPr>
          <w:rFonts w:ascii="Cambria" w:hAnsi="Cambria"/>
          <w:b/>
          <w:bCs/>
          <w:sz w:val="24"/>
          <w:szCs w:val="24"/>
        </w:rPr>
        <w:t xml:space="preserve">Contracted </w:t>
      </w:r>
      <w:r w:rsidR="00161A0F" w:rsidRPr="0033086C">
        <w:rPr>
          <w:rFonts w:ascii="Cambria" w:hAnsi="Cambria"/>
          <w:b/>
          <w:bCs/>
          <w:sz w:val="24"/>
          <w:szCs w:val="24"/>
        </w:rPr>
        <w:t>Service</w:t>
      </w:r>
      <w:r w:rsidR="00161A0F">
        <w:rPr>
          <w:rFonts w:ascii="Cambria" w:hAnsi="Cambria"/>
          <w:b/>
          <w:bCs/>
          <w:sz w:val="24"/>
          <w:szCs w:val="24"/>
        </w:rPr>
        <w:t>s</w:t>
      </w:r>
      <w:r w:rsidR="00161A0F" w:rsidRPr="0033086C">
        <w:rPr>
          <w:rFonts w:ascii="Cambria" w:hAnsi="Cambria"/>
          <w:b/>
          <w:bCs/>
          <w:sz w:val="24"/>
          <w:szCs w:val="24"/>
        </w:rPr>
        <w:t>.</w:t>
      </w:r>
      <w:r w:rsidR="00161A0F" w:rsidRPr="0033086C">
        <w:rPr>
          <w:rFonts w:ascii="Cambria" w:hAnsi="Cambria"/>
          <w:sz w:val="24"/>
          <w:szCs w:val="24"/>
        </w:rPr>
        <w:t xml:space="preserve"> </w:t>
      </w:r>
      <w:r w:rsidR="00161A0F" w:rsidRPr="0033086C">
        <w:rPr>
          <w:rFonts w:ascii="Cambria" w:hAnsi="Cambria"/>
          <w:bCs/>
          <w:sz w:val="24"/>
          <w:szCs w:val="24"/>
        </w:rPr>
        <w:t>PCLOB has compensated for its small size by using shared</w:t>
      </w:r>
      <w:r w:rsidR="00202D4B">
        <w:rPr>
          <w:rFonts w:ascii="Cambria" w:hAnsi="Cambria"/>
          <w:bCs/>
          <w:sz w:val="24"/>
          <w:szCs w:val="24"/>
        </w:rPr>
        <w:t xml:space="preserve"> </w:t>
      </w:r>
      <w:r w:rsidR="00161A0F" w:rsidRPr="0033086C">
        <w:rPr>
          <w:rFonts w:ascii="Cambria" w:hAnsi="Cambria"/>
          <w:bCs/>
          <w:sz w:val="24"/>
          <w:szCs w:val="24"/>
        </w:rPr>
        <w:t xml:space="preserve">service providers for several key functions: financial, payroll and human resources, and procurement services. These </w:t>
      </w:r>
      <w:r w:rsidR="001E470F">
        <w:rPr>
          <w:rFonts w:ascii="Cambria" w:hAnsi="Cambria"/>
          <w:bCs/>
          <w:sz w:val="24"/>
          <w:szCs w:val="24"/>
        </w:rPr>
        <w:t xml:space="preserve">shared </w:t>
      </w:r>
      <w:r w:rsidR="00161A0F" w:rsidRPr="0033086C">
        <w:rPr>
          <w:rFonts w:ascii="Cambria" w:hAnsi="Cambria"/>
          <w:bCs/>
          <w:sz w:val="24"/>
          <w:szCs w:val="24"/>
        </w:rPr>
        <w:t xml:space="preserve">service providers employ individuals who are experts in their field, entrusted to perform critical tasks reliably on a timely schedule. Contracting with </w:t>
      </w:r>
      <w:r w:rsidR="001E470F">
        <w:rPr>
          <w:rFonts w:ascii="Cambria" w:hAnsi="Cambria"/>
          <w:bCs/>
          <w:sz w:val="24"/>
          <w:szCs w:val="24"/>
        </w:rPr>
        <w:t xml:space="preserve">shared </w:t>
      </w:r>
      <w:r w:rsidR="00161A0F" w:rsidRPr="0033086C">
        <w:rPr>
          <w:rFonts w:ascii="Cambria" w:hAnsi="Cambria"/>
          <w:bCs/>
          <w:sz w:val="24"/>
          <w:szCs w:val="24"/>
        </w:rPr>
        <w:t xml:space="preserve">service providers has enabled PCLOB to </w:t>
      </w:r>
      <w:r w:rsidR="00161A0F" w:rsidRPr="004B19A8">
        <w:rPr>
          <w:rFonts w:ascii="Cambria" w:hAnsi="Cambria"/>
          <w:bCs/>
          <w:sz w:val="24"/>
          <w:szCs w:val="24"/>
        </w:rPr>
        <w:t xml:space="preserve">identify and resolve errors, leverage </w:t>
      </w:r>
      <w:r w:rsidR="001E470F">
        <w:rPr>
          <w:rFonts w:ascii="Cambria" w:hAnsi="Cambria"/>
          <w:bCs/>
          <w:sz w:val="24"/>
          <w:szCs w:val="24"/>
        </w:rPr>
        <w:t xml:space="preserve">shared </w:t>
      </w:r>
      <w:r w:rsidR="00161A0F" w:rsidRPr="004B19A8">
        <w:rPr>
          <w:rFonts w:ascii="Cambria" w:hAnsi="Cambria"/>
          <w:bCs/>
          <w:sz w:val="24"/>
          <w:szCs w:val="24"/>
        </w:rPr>
        <w:t xml:space="preserve">service provider’s software, and more confidently </w:t>
      </w:r>
      <w:r w:rsidR="00BA55B9">
        <w:rPr>
          <w:rFonts w:ascii="Cambria" w:hAnsi="Cambria"/>
          <w:bCs/>
          <w:sz w:val="24"/>
          <w:szCs w:val="24"/>
        </w:rPr>
        <w:t xml:space="preserve">and more quickly </w:t>
      </w:r>
      <w:r w:rsidR="00161A0F" w:rsidRPr="004B19A8">
        <w:rPr>
          <w:rFonts w:ascii="Cambria" w:hAnsi="Cambria"/>
          <w:bCs/>
          <w:sz w:val="24"/>
          <w:szCs w:val="24"/>
        </w:rPr>
        <w:t>stay up to date on regulations</w:t>
      </w:r>
      <w:r w:rsidR="00A953E5">
        <w:rPr>
          <w:rFonts w:ascii="Cambria" w:hAnsi="Cambria"/>
          <w:bCs/>
          <w:sz w:val="24"/>
          <w:szCs w:val="24"/>
        </w:rPr>
        <w:t>.</w:t>
      </w:r>
    </w:p>
    <w:p w14:paraId="46F8ACAF" w14:textId="2FB94030" w:rsidR="00161A0F" w:rsidRPr="000C50CC" w:rsidRDefault="00161A0F" w:rsidP="0019237F">
      <w:pPr>
        <w:spacing w:before="240" w:after="0" w:line="276" w:lineRule="auto"/>
        <w:jc w:val="both"/>
        <w:rPr>
          <w:rFonts w:ascii="Cambria" w:hAnsi="Cambria"/>
          <w:b/>
          <w:sz w:val="24"/>
          <w:szCs w:val="24"/>
          <w:u w:val="single"/>
        </w:rPr>
      </w:pPr>
      <w:bookmarkStart w:id="80" w:name="_Hlk148957832"/>
      <w:r w:rsidRPr="000C50CC">
        <w:rPr>
          <w:rFonts w:ascii="Cambria" w:hAnsi="Cambria"/>
          <w:b/>
          <w:sz w:val="24"/>
          <w:szCs w:val="24"/>
          <w:u w:val="single"/>
        </w:rPr>
        <w:t>IT Systems and Cybersecurity</w:t>
      </w:r>
    </w:p>
    <w:p w14:paraId="4D05999A" w14:textId="4FFD823C" w:rsidR="00161A0F" w:rsidRPr="000C50CC" w:rsidRDefault="00161A0F" w:rsidP="0019237F">
      <w:pPr>
        <w:numPr>
          <w:ilvl w:val="0"/>
          <w:numId w:val="15"/>
        </w:numPr>
        <w:spacing w:before="120" w:after="120" w:line="276" w:lineRule="auto"/>
        <w:jc w:val="both"/>
        <w:rPr>
          <w:rFonts w:ascii="Cambria" w:hAnsi="Cambria"/>
          <w:bCs/>
          <w:sz w:val="24"/>
          <w:szCs w:val="24"/>
        </w:rPr>
      </w:pPr>
      <w:r w:rsidRPr="000C50CC">
        <w:rPr>
          <w:rFonts w:ascii="Cambria" w:hAnsi="Cambria"/>
          <w:b/>
          <w:sz w:val="24"/>
          <w:szCs w:val="24"/>
        </w:rPr>
        <w:t xml:space="preserve">Favorable FY </w:t>
      </w:r>
      <w:r w:rsidR="0049075B">
        <w:rPr>
          <w:rFonts w:ascii="Cambria" w:hAnsi="Cambria"/>
          <w:b/>
          <w:sz w:val="24"/>
          <w:szCs w:val="24"/>
        </w:rPr>
        <w:t>2025</w:t>
      </w:r>
      <w:r w:rsidRPr="000C50CC">
        <w:rPr>
          <w:rFonts w:ascii="Cambria" w:hAnsi="Cambria"/>
          <w:b/>
          <w:sz w:val="24"/>
          <w:szCs w:val="24"/>
        </w:rPr>
        <w:t xml:space="preserve"> </w:t>
      </w:r>
      <w:r w:rsidRPr="0035715A">
        <w:rPr>
          <w:rFonts w:ascii="Cambria" w:hAnsi="Cambria"/>
          <w:b/>
          <w:bCs/>
          <w:sz w:val="24"/>
          <w:szCs w:val="24"/>
        </w:rPr>
        <w:t xml:space="preserve">Federal Information Security </w:t>
      </w:r>
      <w:r w:rsidR="00DF387A">
        <w:rPr>
          <w:rFonts w:ascii="Cambria" w:hAnsi="Cambria"/>
          <w:b/>
          <w:bCs/>
          <w:sz w:val="24"/>
          <w:szCs w:val="24"/>
        </w:rPr>
        <w:t>Modernization</w:t>
      </w:r>
      <w:r w:rsidR="00DF387A" w:rsidRPr="0035715A">
        <w:rPr>
          <w:rFonts w:ascii="Cambria" w:hAnsi="Cambria"/>
          <w:b/>
          <w:bCs/>
          <w:sz w:val="24"/>
          <w:szCs w:val="24"/>
        </w:rPr>
        <w:t xml:space="preserve"> </w:t>
      </w:r>
      <w:r w:rsidRPr="0035715A">
        <w:rPr>
          <w:rFonts w:ascii="Cambria" w:hAnsi="Cambria"/>
          <w:b/>
          <w:bCs/>
          <w:sz w:val="24"/>
          <w:szCs w:val="24"/>
        </w:rPr>
        <w:t>Act</w:t>
      </w:r>
      <w:r w:rsidRPr="0035715A" w:rsidDel="0035715A">
        <w:rPr>
          <w:rFonts w:ascii="Cambria" w:hAnsi="Cambria"/>
          <w:b/>
          <w:sz w:val="24"/>
          <w:szCs w:val="24"/>
        </w:rPr>
        <w:t xml:space="preserve"> </w:t>
      </w:r>
      <w:r w:rsidRPr="000C50CC">
        <w:rPr>
          <w:rFonts w:ascii="Cambria" w:hAnsi="Cambria"/>
          <w:b/>
          <w:sz w:val="24"/>
          <w:szCs w:val="24"/>
        </w:rPr>
        <w:t>Results.</w:t>
      </w:r>
      <w:r w:rsidRPr="000C50CC">
        <w:rPr>
          <w:rFonts w:ascii="Cambria" w:hAnsi="Cambria"/>
          <w:bCs/>
          <w:sz w:val="24"/>
          <w:szCs w:val="24"/>
        </w:rPr>
        <w:t xml:space="preserve"> Information security also continues to be a top priority for the agency</w:t>
      </w:r>
      <w:r w:rsidR="00617570">
        <w:rPr>
          <w:rFonts w:ascii="Cambria" w:hAnsi="Cambria"/>
          <w:bCs/>
          <w:sz w:val="24"/>
          <w:szCs w:val="24"/>
        </w:rPr>
        <w:t>.</w:t>
      </w:r>
      <w:r w:rsidRPr="000C50CC">
        <w:rPr>
          <w:rFonts w:ascii="Cambria" w:hAnsi="Cambria"/>
          <w:bCs/>
          <w:sz w:val="24"/>
          <w:szCs w:val="24"/>
        </w:rPr>
        <w:t xml:space="preserve"> PCLOB’s FY </w:t>
      </w:r>
      <w:r w:rsidR="0049075B">
        <w:rPr>
          <w:rFonts w:ascii="Cambria" w:hAnsi="Cambria"/>
          <w:bCs/>
          <w:sz w:val="24"/>
          <w:szCs w:val="24"/>
        </w:rPr>
        <w:t>2025</w:t>
      </w:r>
      <w:r w:rsidRPr="000C50CC">
        <w:rPr>
          <w:rFonts w:ascii="Cambria" w:hAnsi="Cambria"/>
          <w:bCs/>
          <w:sz w:val="24"/>
          <w:szCs w:val="24"/>
        </w:rPr>
        <w:t xml:space="preserve"> Federal Information Security </w:t>
      </w:r>
      <w:r w:rsidR="00DF387A">
        <w:rPr>
          <w:rFonts w:ascii="Cambria" w:hAnsi="Cambria"/>
          <w:bCs/>
          <w:sz w:val="24"/>
          <w:szCs w:val="24"/>
        </w:rPr>
        <w:t>Modernization</w:t>
      </w:r>
      <w:r w:rsidR="00DF387A" w:rsidRPr="000C50CC">
        <w:rPr>
          <w:rFonts w:ascii="Cambria" w:hAnsi="Cambria"/>
          <w:bCs/>
          <w:sz w:val="24"/>
          <w:szCs w:val="24"/>
        </w:rPr>
        <w:t xml:space="preserve"> </w:t>
      </w:r>
      <w:r w:rsidRPr="000C50CC">
        <w:rPr>
          <w:rFonts w:ascii="Cambria" w:hAnsi="Cambria"/>
          <w:bCs/>
          <w:sz w:val="24"/>
          <w:szCs w:val="24"/>
        </w:rPr>
        <w:t>Act</w:t>
      </w:r>
      <w:r>
        <w:rPr>
          <w:rFonts w:ascii="Cambria" w:hAnsi="Cambria"/>
          <w:bCs/>
          <w:sz w:val="24"/>
          <w:szCs w:val="24"/>
        </w:rPr>
        <w:t xml:space="preserve"> of 2014</w:t>
      </w:r>
      <w:r w:rsidRPr="000C50CC">
        <w:rPr>
          <w:rFonts w:ascii="Cambria" w:hAnsi="Cambria"/>
          <w:bCs/>
          <w:sz w:val="24"/>
          <w:szCs w:val="24"/>
        </w:rPr>
        <w:t xml:space="preserve"> (FISMA) audit concluded that its internal controls were effective in protecting information resources</w:t>
      </w:r>
      <w:r w:rsidR="00A7119D">
        <w:rPr>
          <w:rFonts w:ascii="Cambria" w:hAnsi="Cambria"/>
          <w:bCs/>
          <w:sz w:val="24"/>
          <w:szCs w:val="24"/>
        </w:rPr>
        <w:t>. PCLOB conducted multiple independent penetration assessments to evaluate th</w:t>
      </w:r>
      <w:r w:rsidR="00A7119D" w:rsidRPr="001F4AF2">
        <w:rPr>
          <w:rFonts w:ascii="Cambria" w:hAnsi="Cambria"/>
          <w:sz w:val="24"/>
          <w:szCs w:val="24"/>
        </w:rPr>
        <w:t>e network security posture, validate the effectiveness of existing controls, and ensure continued alignment with</w:t>
      </w:r>
      <w:r w:rsidR="00A7119D">
        <w:rPr>
          <w:rFonts w:ascii="Cambria" w:hAnsi="Cambria"/>
          <w:sz w:val="24"/>
          <w:szCs w:val="24"/>
        </w:rPr>
        <w:t xml:space="preserve"> </w:t>
      </w:r>
      <w:r w:rsidR="00A7119D" w:rsidRPr="001F4AF2">
        <w:rPr>
          <w:rFonts w:ascii="Cambria" w:hAnsi="Cambria"/>
          <w:sz w:val="24"/>
          <w:szCs w:val="24"/>
        </w:rPr>
        <w:t xml:space="preserve">the National Institute of Standards and Technology (NIST) and </w:t>
      </w:r>
      <w:r w:rsidR="00A7119D">
        <w:rPr>
          <w:rFonts w:ascii="Cambria" w:hAnsi="Cambria"/>
          <w:sz w:val="24"/>
          <w:szCs w:val="24"/>
        </w:rPr>
        <w:t>the Cybersecurity and Infrastructure Security Agency (CISA)</w:t>
      </w:r>
      <w:r w:rsidR="00A7119D" w:rsidRPr="001F4AF2">
        <w:rPr>
          <w:rFonts w:ascii="Cambria" w:hAnsi="Cambria"/>
          <w:sz w:val="24"/>
          <w:szCs w:val="24"/>
        </w:rPr>
        <w:t xml:space="preserve"> </w:t>
      </w:r>
      <w:r w:rsidR="00A7119D" w:rsidRPr="001F4AF2">
        <w:rPr>
          <w:rFonts w:ascii="Cambria" w:hAnsi="Cambria"/>
          <w:sz w:val="24"/>
          <w:szCs w:val="24"/>
        </w:rPr>
        <w:lastRenderedPageBreak/>
        <w:t>cybersecurity requirements. The asse</w:t>
      </w:r>
      <w:r w:rsidR="00A7119D">
        <w:rPr>
          <w:rFonts w:ascii="Cambria" w:hAnsi="Cambria"/>
          <w:sz w:val="24"/>
          <w:szCs w:val="24"/>
        </w:rPr>
        <w:t>ss</w:t>
      </w:r>
      <w:r w:rsidR="00A7119D" w:rsidRPr="001F4AF2">
        <w:rPr>
          <w:rFonts w:ascii="Cambria" w:hAnsi="Cambria"/>
          <w:sz w:val="24"/>
          <w:szCs w:val="24"/>
        </w:rPr>
        <w:t>ments</w:t>
      </w:r>
      <w:r w:rsidR="00A7119D" w:rsidRPr="001F4AF2">
        <w:rPr>
          <w:rFonts w:ascii="Cambria" w:hAnsi="Cambria"/>
          <w:bCs/>
          <w:sz w:val="24"/>
          <w:szCs w:val="24"/>
        </w:rPr>
        <w:t xml:space="preserve"> detected no critical or high vulnerabilities across PCLOB</w:t>
      </w:r>
      <w:r w:rsidR="00335ADA">
        <w:rPr>
          <w:rFonts w:ascii="Cambria" w:hAnsi="Cambria"/>
          <w:bCs/>
          <w:sz w:val="24"/>
          <w:szCs w:val="24"/>
        </w:rPr>
        <w:t>’</w:t>
      </w:r>
      <w:r w:rsidR="00A7119D" w:rsidRPr="001F4AF2">
        <w:rPr>
          <w:rFonts w:ascii="Cambria" w:hAnsi="Cambria"/>
          <w:bCs/>
          <w:sz w:val="24"/>
          <w:szCs w:val="24"/>
        </w:rPr>
        <w:t>s network infrastructure.</w:t>
      </w:r>
      <w:r w:rsidR="00A7119D" w:rsidRPr="000C50CC">
        <w:rPr>
          <w:rFonts w:ascii="Cambria" w:hAnsi="Cambria"/>
          <w:bCs/>
          <w:sz w:val="24"/>
          <w:szCs w:val="24"/>
        </w:rPr>
        <w:t xml:space="preserve">  </w:t>
      </w:r>
      <w:r w:rsidRPr="000C50CC">
        <w:rPr>
          <w:rFonts w:ascii="Cambria" w:hAnsi="Cambria"/>
          <w:bCs/>
          <w:sz w:val="24"/>
          <w:szCs w:val="24"/>
        </w:rPr>
        <w:t xml:space="preserve">  </w:t>
      </w:r>
    </w:p>
    <w:p w14:paraId="6E06CAD4" w14:textId="75B9E5FA" w:rsidR="00743CD3" w:rsidRPr="00182D44" w:rsidRDefault="00161A0F" w:rsidP="0019237F">
      <w:pPr>
        <w:numPr>
          <w:ilvl w:val="0"/>
          <w:numId w:val="15"/>
        </w:numPr>
        <w:spacing w:before="120" w:after="0" w:line="276" w:lineRule="auto"/>
        <w:jc w:val="both"/>
        <w:rPr>
          <w:rFonts w:ascii="Cambria" w:hAnsi="Cambria"/>
          <w:bCs/>
          <w:sz w:val="24"/>
          <w:szCs w:val="24"/>
        </w:rPr>
      </w:pPr>
      <w:r w:rsidRPr="00743CD3">
        <w:rPr>
          <w:rFonts w:ascii="Cambria" w:hAnsi="Cambria"/>
          <w:b/>
          <w:sz w:val="24"/>
          <w:szCs w:val="24"/>
        </w:rPr>
        <w:t>Continued Network Provision to Staff Without Incident.</w:t>
      </w:r>
      <w:r w:rsidRPr="00743CD3">
        <w:rPr>
          <w:rFonts w:ascii="Cambria" w:hAnsi="Cambria"/>
          <w:bCs/>
          <w:sz w:val="24"/>
          <w:szCs w:val="24"/>
        </w:rPr>
        <w:t xml:space="preserve"> PCLOB’s IT staff </w:t>
      </w:r>
      <w:proofErr w:type="gramStart"/>
      <w:r w:rsidRPr="00743CD3">
        <w:rPr>
          <w:rFonts w:ascii="Cambria" w:hAnsi="Cambria"/>
          <w:bCs/>
          <w:sz w:val="24"/>
          <w:szCs w:val="24"/>
        </w:rPr>
        <w:t>remains</w:t>
      </w:r>
      <w:proofErr w:type="gramEnd"/>
      <w:r w:rsidRPr="00743CD3">
        <w:rPr>
          <w:rFonts w:ascii="Cambria" w:hAnsi="Cambria"/>
          <w:bCs/>
          <w:sz w:val="24"/>
          <w:szCs w:val="24"/>
        </w:rPr>
        <w:t xml:space="preserve"> focused on solidifying the agency’s cybersecurity posture while maintaining infrastructure and strategies to support a </w:t>
      </w:r>
      <w:r w:rsidR="00A7119D">
        <w:rPr>
          <w:rFonts w:ascii="Cambria" w:hAnsi="Cambria"/>
          <w:bCs/>
          <w:sz w:val="24"/>
          <w:szCs w:val="24"/>
        </w:rPr>
        <w:t>converged</w:t>
      </w:r>
      <w:r w:rsidR="00A7119D" w:rsidRPr="00743CD3">
        <w:rPr>
          <w:rFonts w:ascii="Cambria" w:hAnsi="Cambria"/>
          <w:bCs/>
          <w:sz w:val="24"/>
          <w:szCs w:val="24"/>
        </w:rPr>
        <w:t xml:space="preserve"> </w:t>
      </w:r>
      <w:r w:rsidRPr="00743CD3">
        <w:rPr>
          <w:rFonts w:ascii="Cambria" w:hAnsi="Cambria"/>
          <w:bCs/>
          <w:sz w:val="24"/>
          <w:szCs w:val="24"/>
        </w:rPr>
        <w:t xml:space="preserve">work environment. As a result of these efforts, PCLOB did not experience any major cybersecurity incidents in FY </w:t>
      </w:r>
      <w:r w:rsidR="0049075B">
        <w:rPr>
          <w:rFonts w:ascii="Cambria" w:hAnsi="Cambria"/>
          <w:bCs/>
          <w:sz w:val="24"/>
          <w:szCs w:val="24"/>
        </w:rPr>
        <w:t>2025</w:t>
      </w:r>
      <w:r w:rsidRPr="00743CD3">
        <w:rPr>
          <w:rFonts w:ascii="Cambria" w:hAnsi="Cambria"/>
          <w:bCs/>
          <w:sz w:val="24"/>
          <w:szCs w:val="24"/>
        </w:rPr>
        <w:t>.</w:t>
      </w:r>
    </w:p>
    <w:p w14:paraId="1191AA3C" w14:textId="5299AC1C" w:rsidR="00161A0F" w:rsidRPr="00743CD3" w:rsidRDefault="00E10265" w:rsidP="0019237F">
      <w:pPr>
        <w:keepNext/>
        <w:keepLines/>
        <w:numPr>
          <w:ilvl w:val="0"/>
          <w:numId w:val="15"/>
        </w:numPr>
        <w:spacing w:before="120" w:after="0" w:line="276" w:lineRule="auto"/>
        <w:jc w:val="both"/>
        <w:rPr>
          <w:rFonts w:ascii="Cambria" w:hAnsi="Cambria"/>
          <w:bCs/>
          <w:sz w:val="24"/>
          <w:szCs w:val="24"/>
        </w:rPr>
      </w:pPr>
      <w:r>
        <w:rPr>
          <w:rFonts w:ascii="Cambria" w:hAnsi="Cambria"/>
          <w:b/>
          <w:sz w:val="24"/>
          <w:szCs w:val="24"/>
        </w:rPr>
        <w:t xml:space="preserve">IT </w:t>
      </w:r>
      <w:r w:rsidR="00161A0F" w:rsidRPr="00743CD3">
        <w:rPr>
          <w:rFonts w:ascii="Cambria" w:hAnsi="Cambria"/>
          <w:b/>
          <w:sz w:val="24"/>
          <w:szCs w:val="24"/>
        </w:rPr>
        <w:t>Compliance with Federal Standards.</w:t>
      </w:r>
      <w:r w:rsidR="00161A0F" w:rsidRPr="00743CD3">
        <w:rPr>
          <w:rFonts w:ascii="Cambria" w:hAnsi="Cambria"/>
          <w:bCs/>
          <w:sz w:val="24"/>
          <w:szCs w:val="24"/>
        </w:rPr>
        <w:t xml:space="preserve"> </w:t>
      </w:r>
      <w:bookmarkStart w:id="81" w:name="_Hlk147475209"/>
    </w:p>
    <w:p w14:paraId="02D4FC29" w14:textId="60D5D39C" w:rsidR="00C6317B" w:rsidRPr="00C6317B" w:rsidRDefault="00C6317B" w:rsidP="00AA05E1">
      <w:pPr>
        <w:keepNext/>
        <w:keepLines/>
        <w:numPr>
          <w:ilvl w:val="1"/>
          <w:numId w:val="44"/>
        </w:numPr>
        <w:spacing w:before="120" w:after="0" w:line="276" w:lineRule="auto"/>
        <w:ind w:left="1080"/>
        <w:jc w:val="both"/>
        <w:rPr>
          <w:rFonts w:ascii="Cambria" w:hAnsi="Cambria"/>
          <w:bCs/>
          <w:sz w:val="24"/>
          <w:szCs w:val="24"/>
        </w:rPr>
      </w:pPr>
      <w:r w:rsidRPr="00C6317B">
        <w:rPr>
          <w:rFonts w:ascii="Cambria" w:hAnsi="Cambria"/>
          <w:bCs/>
          <w:sz w:val="24"/>
          <w:szCs w:val="24"/>
        </w:rPr>
        <w:t xml:space="preserve">PCLOB’s IT staff successfully responded to </w:t>
      </w:r>
      <w:hyperlink r:id="rId77" w:history="1">
        <w:r w:rsidRPr="00207824">
          <w:rPr>
            <w:rStyle w:val="Hyperlink"/>
            <w:rFonts w:ascii="Cambria" w:hAnsi="Cambria"/>
            <w:bCs/>
            <w:sz w:val="24"/>
            <w:szCs w:val="24"/>
          </w:rPr>
          <w:t>CISA Emergency Directive 2</w:t>
        </w:r>
        <w:r w:rsidR="00A7119D" w:rsidRPr="00207824">
          <w:rPr>
            <w:rStyle w:val="Hyperlink"/>
            <w:rFonts w:ascii="Cambria" w:hAnsi="Cambria"/>
            <w:bCs/>
            <w:sz w:val="24"/>
            <w:szCs w:val="24"/>
          </w:rPr>
          <w:t>5</w:t>
        </w:r>
        <w:r w:rsidRPr="00207824">
          <w:rPr>
            <w:rStyle w:val="Hyperlink"/>
            <w:rFonts w:ascii="Cambria" w:hAnsi="Cambria"/>
            <w:bCs/>
            <w:sz w:val="24"/>
            <w:szCs w:val="24"/>
          </w:rPr>
          <w:t>-0</w:t>
        </w:r>
        <w:r w:rsidR="00A7119D" w:rsidRPr="00207824">
          <w:rPr>
            <w:rStyle w:val="Hyperlink"/>
            <w:rFonts w:ascii="Cambria" w:hAnsi="Cambria"/>
            <w:bCs/>
            <w:sz w:val="24"/>
            <w:szCs w:val="24"/>
          </w:rPr>
          <w:t>3</w:t>
        </w:r>
        <w:r w:rsidRPr="00207824">
          <w:rPr>
            <w:rStyle w:val="Hyperlink"/>
            <w:rFonts w:ascii="Cambria" w:hAnsi="Cambria"/>
            <w:bCs/>
            <w:sz w:val="24"/>
            <w:szCs w:val="24"/>
          </w:rPr>
          <w:t xml:space="preserve">, </w:t>
        </w:r>
        <w:r w:rsidR="00A7119D" w:rsidRPr="00207824">
          <w:rPr>
            <w:rStyle w:val="Hyperlink"/>
            <w:rFonts w:ascii="Cambria" w:hAnsi="Cambria"/>
            <w:bCs/>
            <w:i/>
            <w:iCs/>
            <w:sz w:val="24"/>
            <w:szCs w:val="24"/>
          </w:rPr>
          <w:t>Identify and</w:t>
        </w:r>
        <w:r w:rsidR="00A7119D" w:rsidRPr="00207824">
          <w:rPr>
            <w:rStyle w:val="Hyperlink"/>
            <w:rFonts w:ascii="Cambria" w:hAnsi="Cambria"/>
            <w:bCs/>
            <w:sz w:val="24"/>
            <w:szCs w:val="24"/>
          </w:rPr>
          <w:t xml:space="preserve"> </w:t>
        </w:r>
        <w:r w:rsidR="00A7119D" w:rsidRPr="00207824">
          <w:rPr>
            <w:rStyle w:val="Hyperlink"/>
            <w:rFonts w:ascii="Cambria" w:hAnsi="Cambria"/>
            <w:bCs/>
            <w:i/>
            <w:iCs/>
            <w:sz w:val="24"/>
            <w:szCs w:val="24"/>
          </w:rPr>
          <w:t>Mitigate Potential Compromise of Cisco Devices</w:t>
        </w:r>
      </w:hyperlink>
      <w:r w:rsidR="00A7119D">
        <w:rPr>
          <w:rFonts w:ascii="Cambria" w:hAnsi="Cambria"/>
          <w:bCs/>
          <w:i/>
          <w:iCs/>
          <w:sz w:val="24"/>
          <w:szCs w:val="24"/>
        </w:rPr>
        <w:t xml:space="preserve">, </w:t>
      </w:r>
      <w:r w:rsidR="00A7119D" w:rsidRPr="00C6317B">
        <w:rPr>
          <w:rFonts w:ascii="Cambria" w:hAnsi="Cambria"/>
          <w:bCs/>
          <w:sz w:val="24"/>
          <w:szCs w:val="24"/>
        </w:rPr>
        <w:t xml:space="preserve">to identify and remediate </w:t>
      </w:r>
      <w:r w:rsidR="00A7119D">
        <w:rPr>
          <w:rFonts w:ascii="Cambria" w:hAnsi="Cambria"/>
          <w:bCs/>
          <w:sz w:val="24"/>
          <w:szCs w:val="24"/>
        </w:rPr>
        <w:t>at-risk</w:t>
      </w:r>
      <w:r w:rsidR="00A7119D" w:rsidRPr="00C6317B">
        <w:rPr>
          <w:rFonts w:ascii="Cambria" w:hAnsi="Cambria"/>
          <w:bCs/>
          <w:sz w:val="24"/>
          <w:szCs w:val="24"/>
        </w:rPr>
        <w:t xml:space="preserve"> agency </w:t>
      </w:r>
      <w:r w:rsidR="00A7119D">
        <w:rPr>
          <w:rFonts w:ascii="Cambria" w:hAnsi="Cambria"/>
          <w:bCs/>
          <w:sz w:val="24"/>
          <w:szCs w:val="24"/>
        </w:rPr>
        <w:t>devices</w:t>
      </w:r>
      <w:r w:rsidR="00A7119D" w:rsidRPr="00C6317B">
        <w:rPr>
          <w:rFonts w:ascii="Cambria" w:hAnsi="Cambria"/>
          <w:bCs/>
          <w:sz w:val="24"/>
          <w:szCs w:val="24"/>
        </w:rPr>
        <w:t>.</w:t>
      </w:r>
    </w:p>
    <w:p w14:paraId="3FDA754E" w14:textId="630E97A0" w:rsidR="00C6317B" w:rsidRPr="00C6317B" w:rsidRDefault="00C6317B" w:rsidP="00AA05E1">
      <w:pPr>
        <w:numPr>
          <w:ilvl w:val="1"/>
          <w:numId w:val="44"/>
        </w:numPr>
        <w:spacing w:before="120" w:after="0" w:line="276" w:lineRule="auto"/>
        <w:ind w:left="1080"/>
        <w:jc w:val="both"/>
        <w:rPr>
          <w:rFonts w:ascii="Cambria" w:hAnsi="Cambria"/>
          <w:bCs/>
          <w:sz w:val="24"/>
          <w:szCs w:val="24"/>
        </w:rPr>
      </w:pPr>
      <w:r w:rsidRPr="00C6317B">
        <w:rPr>
          <w:rFonts w:ascii="Cambria" w:hAnsi="Cambria"/>
          <w:bCs/>
          <w:sz w:val="24"/>
          <w:szCs w:val="24"/>
        </w:rPr>
        <w:t xml:space="preserve">PCLOB continues to </w:t>
      </w:r>
      <w:r w:rsidR="00A7119D">
        <w:rPr>
          <w:rFonts w:ascii="Cambria" w:hAnsi="Cambria"/>
          <w:bCs/>
          <w:sz w:val="24"/>
          <w:szCs w:val="24"/>
        </w:rPr>
        <w:t xml:space="preserve">strengthen its cybersecurity posture by leveraging </w:t>
      </w:r>
      <w:r w:rsidRPr="00C6317B">
        <w:rPr>
          <w:rFonts w:ascii="Cambria" w:hAnsi="Cambria"/>
          <w:bCs/>
          <w:sz w:val="24"/>
          <w:szCs w:val="24"/>
        </w:rPr>
        <w:t>shared service</w:t>
      </w:r>
      <w:r w:rsidR="00A7119D">
        <w:rPr>
          <w:rFonts w:ascii="Cambria" w:hAnsi="Cambria"/>
          <w:bCs/>
          <w:sz w:val="24"/>
          <w:szCs w:val="24"/>
        </w:rPr>
        <w:t>s</w:t>
      </w:r>
      <w:r w:rsidRPr="00C6317B">
        <w:rPr>
          <w:rFonts w:ascii="Cambria" w:hAnsi="Cambria"/>
          <w:bCs/>
          <w:sz w:val="24"/>
          <w:szCs w:val="24"/>
        </w:rPr>
        <w:t xml:space="preserve"> and contractor support to </w:t>
      </w:r>
      <w:r w:rsidR="00A7119D">
        <w:rPr>
          <w:rFonts w:ascii="Cambria" w:hAnsi="Cambria"/>
          <w:bCs/>
          <w:sz w:val="24"/>
          <w:szCs w:val="24"/>
        </w:rPr>
        <w:t>enhance</w:t>
      </w:r>
      <w:r w:rsidRPr="00C6317B">
        <w:rPr>
          <w:rFonts w:ascii="Cambria" w:hAnsi="Cambria"/>
          <w:bCs/>
          <w:sz w:val="24"/>
          <w:szCs w:val="24"/>
        </w:rPr>
        <w:t xml:space="preserve"> boundary protection. IT staff implemented, maintained, and documented technical controls to comply with federal </w:t>
      </w:r>
      <w:r w:rsidR="00A7119D" w:rsidRPr="001F4AF2">
        <w:rPr>
          <w:rFonts w:ascii="Cambria" w:hAnsi="Cambria"/>
          <w:sz w:val="24"/>
          <w:szCs w:val="24"/>
        </w:rPr>
        <w:t xml:space="preserve">cybersecurity </w:t>
      </w:r>
      <w:r w:rsidRPr="00C6317B">
        <w:rPr>
          <w:rFonts w:ascii="Cambria" w:hAnsi="Cambria"/>
          <w:bCs/>
          <w:sz w:val="24"/>
          <w:szCs w:val="24"/>
        </w:rPr>
        <w:t xml:space="preserve">standards </w:t>
      </w:r>
      <w:r w:rsidR="00A7119D" w:rsidRPr="001F4AF2">
        <w:rPr>
          <w:rFonts w:ascii="Cambria" w:hAnsi="Cambria"/>
          <w:sz w:val="24"/>
          <w:szCs w:val="24"/>
        </w:rPr>
        <w:t>the objectives outlined in</w:t>
      </w:r>
      <w:r w:rsidRPr="00C6317B">
        <w:rPr>
          <w:rFonts w:ascii="Cambria" w:hAnsi="Cambria"/>
          <w:bCs/>
          <w:sz w:val="24"/>
          <w:szCs w:val="24"/>
        </w:rPr>
        <w:t xml:space="preserve"> </w:t>
      </w:r>
      <w:hyperlink r:id="rId78" w:history="1">
        <w:r w:rsidRPr="001E470F">
          <w:rPr>
            <w:rStyle w:val="Hyperlink"/>
            <w:rFonts w:ascii="Cambria" w:hAnsi="Cambria"/>
            <w:bCs/>
            <w:sz w:val="24"/>
            <w:szCs w:val="24"/>
          </w:rPr>
          <w:t>OMB M-24-14</w:t>
        </w:r>
        <w:r w:rsidR="00E10265" w:rsidRPr="001E470F">
          <w:rPr>
            <w:rStyle w:val="Hyperlink"/>
            <w:rFonts w:ascii="Cambria" w:hAnsi="Cambria"/>
            <w:bCs/>
            <w:sz w:val="24"/>
            <w:szCs w:val="24"/>
          </w:rPr>
          <w:t xml:space="preserve">, </w:t>
        </w:r>
        <w:r w:rsidR="00E10265" w:rsidRPr="001E470F">
          <w:rPr>
            <w:rStyle w:val="Hyperlink"/>
            <w:rFonts w:ascii="Cambria" w:hAnsi="Cambria"/>
            <w:bCs/>
            <w:i/>
            <w:iCs/>
            <w:sz w:val="24"/>
            <w:szCs w:val="24"/>
          </w:rPr>
          <w:t xml:space="preserve">Administration </w:t>
        </w:r>
        <w:r w:rsidRPr="001E470F">
          <w:rPr>
            <w:rStyle w:val="Hyperlink"/>
            <w:rFonts w:ascii="Cambria" w:hAnsi="Cambria"/>
            <w:bCs/>
            <w:i/>
            <w:iCs/>
            <w:sz w:val="24"/>
            <w:szCs w:val="24"/>
          </w:rPr>
          <w:t>Cybersecurity Priorities</w:t>
        </w:r>
        <w:r w:rsidR="00E10265" w:rsidRPr="001E470F">
          <w:rPr>
            <w:rStyle w:val="Hyperlink"/>
            <w:rFonts w:ascii="Cambria" w:hAnsi="Cambria"/>
            <w:bCs/>
            <w:i/>
            <w:iCs/>
            <w:sz w:val="24"/>
            <w:szCs w:val="24"/>
          </w:rPr>
          <w:t xml:space="preserve"> for the FY 2026 Budget</w:t>
        </w:r>
      </w:hyperlink>
      <w:r w:rsidRPr="00C6317B">
        <w:rPr>
          <w:rFonts w:ascii="Cambria" w:hAnsi="Cambria"/>
          <w:bCs/>
          <w:sz w:val="24"/>
          <w:szCs w:val="24"/>
        </w:rPr>
        <w:t xml:space="preserve">. These </w:t>
      </w:r>
      <w:r w:rsidR="00A7119D" w:rsidRPr="001F4AF2">
        <w:rPr>
          <w:rFonts w:ascii="Cambria" w:hAnsi="Cambria"/>
          <w:sz w:val="24"/>
          <w:szCs w:val="24"/>
        </w:rPr>
        <w:t>efforts advance the priority of</w:t>
      </w:r>
      <w:r w:rsidRPr="00C6317B">
        <w:rPr>
          <w:rFonts w:ascii="Cambria" w:hAnsi="Cambria"/>
          <w:bCs/>
          <w:sz w:val="24"/>
          <w:szCs w:val="24"/>
        </w:rPr>
        <w:t xml:space="preserve"> </w:t>
      </w:r>
      <w:r w:rsidR="00664B43">
        <w:rPr>
          <w:rFonts w:ascii="Cambria" w:hAnsi="Cambria"/>
          <w:bCs/>
          <w:sz w:val="24"/>
          <w:szCs w:val="24"/>
        </w:rPr>
        <w:t>d</w:t>
      </w:r>
      <w:r w:rsidRPr="00C6317B">
        <w:rPr>
          <w:rFonts w:ascii="Cambria" w:hAnsi="Cambria"/>
          <w:bCs/>
          <w:sz w:val="24"/>
          <w:szCs w:val="24"/>
        </w:rPr>
        <w:t xml:space="preserve">efending </w:t>
      </w:r>
      <w:r w:rsidR="00664B43">
        <w:rPr>
          <w:rFonts w:ascii="Cambria" w:hAnsi="Cambria"/>
          <w:bCs/>
          <w:sz w:val="24"/>
          <w:szCs w:val="24"/>
        </w:rPr>
        <w:t>c</w:t>
      </w:r>
      <w:r w:rsidRPr="00C6317B">
        <w:rPr>
          <w:rFonts w:ascii="Cambria" w:hAnsi="Cambria"/>
          <w:bCs/>
          <w:sz w:val="24"/>
          <w:szCs w:val="24"/>
        </w:rPr>
        <w:t xml:space="preserve">ritical </w:t>
      </w:r>
      <w:r w:rsidR="00664B43">
        <w:rPr>
          <w:rFonts w:ascii="Cambria" w:hAnsi="Cambria"/>
          <w:bCs/>
          <w:sz w:val="24"/>
          <w:szCs w:val="24"/>
        </w:rPr>
        <w:t>i</w:t>
      </w:r>
      <w:r w:rsidRPr="00C6317B">
        <w:rPr>
          <w:rFonts w:ascii="Cambria" w:hAnsi="Cambria"/>
          <w:bCs/>
          <w:sz w:val="24"/>
          <w:szCs w:val="24"/>
        </w:rPr>
        <w:t xml:space="preserve">nfrastructure. PCLOB </w:t>
      </w:r>
      <w:r w:rsidR="00A7119D" w:rsidRPr="001F4AF2">
        <w:rPr>
          <w:rFonts w:ascii="Cambria" w:hAnsi="Cambria"/>
          <w:sz w:val="24"/>
          <w:szCs w:val="24"/>
        </w:rPr>
        <w:t xml:space="preserve">also continues to adopt and integrate tools and strategies that align with the principles of </w:t>
      </w:r>
      <w:hyperlink r:id="rId79" w:history="1">
        <w:r w:rsidR="00A7119D" w:rsidRPr="00207824">
          <w:rPr>
            <w:rStyle w:val="Hyperlink"/>
            <w:rFonts w:ascii="Cambria" w:hAnsi="Cambria"/>
            <w:sz w:val="24"/>
            <w:szCs w:val="24"/>
          </w:rPr>
          <w:t>NIST Special Publication 800-207, Zero Trust Architecture</w:t>
        </w:r>
      </w:hyperlink>
      <w:r w:rsidR="00A7119D" w:rsidRPr="001F4AF2">
        <w:rPr>
          <w:rFonts w:ascii="Cambria" w:hAnsi="Cambria"/>
          <w:sz w:val="24"/>
          <w:szCs w:val="24"/>
        </w:rPr>
        <w:t xml:space="preserve"> to achieve a more resilient and adaptive security framework.</w:t>
      </w:r>
    </w:p>
    <w:p w14:paraId="4C7210C2" w14:textId="4AD8324D" w:rsidR="00C6317B" w:rsidRPr="00C6317B" w:rsidRDefault="00C6317B" w:rsidP="00AA05E1">
      <w:pPr>
        <w:keepNext/>
        <w:keepLines/>
        <w:numPr>
          <w:ilvl w:val="1"/>
          <w:numId w:val="44"/>
        </w:numPr>
        <w:spacing w:before="120" w:after="0" w:line="276" w:lineRule="auto"/>
        <w:ind w:left="1080"/>
        <w:jc w:val="both"/>
        <w:rPr>
          <w:rFonts w:ascii="Cambria" w:hAnsi="Cambria"/>
          <w:bCs/>
          <w:sz w:val="24"/>
          <w:szCs w:val="24"/>
        </w:rPr>
      </w:pPr>
      <w:r w:rsidRPr="00C6317B">
        <w:rPr>
          <w:rFonts w:ascii="Cambria" w:hAnsi="Cambria"/>
          <w:bCs/>
          <w:sz w:val="24"/>
          <w:szCs w:val="24"/>
        </w:rPr>
        <w:t xml:space="preserve">PCLOB </w:t>
      </w:r>
      <w:r w:rsidR="001E470F">
        <w:rPr>
          <w:rFonts w:ascii="Cambria" w:hAnsi="Cambria"/>
          <w:bCs/>
          <w:sz w:val="24"/>
          <w:szCs w:val="24"/>
        </w:rPr>
        <w:t>m</w:t>
      </w:r>
      <w:r w:rsidRPr="00C6317B">
        <w:rPr>
          <w:rFonts w:ascii="Cambria" w:hAnsi="Cambria"/>
          <w:bCs/>
          <w:sz w:val="24"/>
          <w:szCs w:val="24"/>
        </w:rPr>
        <w:t xml:space="preserve">aintained compliance with </w:t>
      </w:r>
      <w:hyperlink r:id="rId80" w:history="1">
        <w:r w:rsidR="007B4D01" w:rsidRPr="007B4D01">
          <w:rPr>
            <w:rStyle w:val="Hyperlink"/>
            <w:rFonts w:ascii="Cambria" w:hAnsi="Cambria"/>
            <w:bCs/>
            <w:sz w:val="24"/>
            <w:szCs w:val="24"/>
          </w:rPr>
          <w:t xml:space="preserve">DHS Binding Operational Directive 22-01, </w:t>
        </w:r>
        <w:r w:rsidR="007B4D01" w:rsidRPr="007B4D01">
          <w:rPr>
            <w:rStyle w:val="Hyperlink"/>
            <w:rFonts w:ascii="Cambria" w:hAnsi="Cambria"/>
            <w:bCs/>
            <w:i/>
            <w:iCs/>
            <w:sz w:val="24"/>
            <w:szCs w:val="24"/>
          </w:rPr>
          <w:t>Reducing the Significant Risk of Known Exploited Vulnerabilities</w:t>
        </w:r>
      </w:hyperlink>
      <w:r w:rsidRPr="00C6317B">
        <w:rPr>
          <w:rFonts w:ascii="Cambria" w:hAnsi="Cambria"/>
          <w:bCs/>
          <w:sz w:val="24"/>
          <w:szCs w:val="24"/>
        </w:rPr>
        <w:t xml:space="preserve"> to remediate vulnerabilities according to timelines outlined in the CISA managed catalog.</w:t>
      </w:r>
    </w:p>
    <w:bookmarkEnd w:id="80"/>
    <w:bookmarkEnd w:id="81"/>
    <w:p w14:paraId="7B25BD7F" w14:textId="19115AA6" w:rsidR="00161A0F" w:rsidRPr="00F835FF" w:rsidRDefault="00161A0F" w:rsidP="00AA05E1">
      <w:pPr>
        <w:spacing w:before="120" w:after="0" w:line="276" w:lineRule="auto"/>
        <w:jc w:val="both"/>
        <w:rPr>
          <w:rFonts w:ascii="Cambria" w:hAnsi="Cambria"/>
          <w:b/>
          <w:color w:val="000000" w:themeColor="text1"/>
          <w:sz w:val="24"/>
          <w:szCs w:val="24"/>
          <w:u w:val="single"/>
        </w:rPr>
      </w:pPr>
      <w:r w:rsidRPr="00F835FF">
        <w:rPr>
          <w:rFonts w:ascii="Cambria" w:hAnsi="Cambria"/>
          <w:b/>
          <w:color w:val="000000" w:themeColor="text1"/>
          <w:sz w:val="24"/>
          <w:szCs w:val="24"/>
          <w:u w:val="single"/>
        </w:rPr>
        <w:t xml:space="preserve">Security </w:t>
      </w:r>
    </w:p>
    <w:p w14:paraId="1929A2D3" w14:textId="716BA8B9" w:rsidR="0010206E" w:rsidRDefault="00161A0F" w:rsidP="00AA05E1">
      <w:pPr>
        <w:spacing w:before="120" w:after="0" w:line="276" w:lineRule="auto"/>
        <w:jc w:val="both"/>
        <w:rPr>
          <w:rFonts w:ascii="Cambria" w:hAnsi="Cambria"/>
          <w:bCs/>
          <w:sz w:val="24"/>
          <w:szCs w:val="24"/>
        </w:rPr>
      </w:pPr>
      <w:r w:rsidRPr="000C50CC">
        <w:rPr>
          <w:rFonts w:ascii="Cambria" w:hAnsi="Cambria"/>
          <w:bCs/>
          <w:sz w:val="24"/>
          <w:szCs w:val="24"/>
        </w:rPr>
        <w:t xml:space="preserve">PCLOB </w:t>
      </w:r>
      <w:r w:rsidR="00925CD2">
        <w:rPr>
          <w:rFonts w:ascii="Cambria" w:hAnsi="Cambria"/>
          <w:bCs/>
          <w:sz w:val="24"/>
          <w:szCs w:val="24"/>
        </w:rPr>
        <w:t>remains committed to</w:t>
      </w:r>
      <w:r w:rsidRPr="000C50CC">
        <w:rPr>
          <w:rFonts w:ascii="Cambria" w:hAnsi="Cambria"/>
          <w:bCs/>
          <w:sz w:val="24"/>
          <w:szCs w:val="24"/>
        </w:rPr>
        <w:t xml:space="preserve"> protecting sensitive and classified materials. </w:t>
      </w:r>
      <w:r w:rsidR="0010206E">
        <w:rPr>
          <w:rFonts w:ascii="Cambria" w:hAnsi="Cambria"/>
          <w:bCs/>
          <w:sz w:val="24"/>
          <w:szCs w:val="24"/>
        </w:rPr>
        <w:t>Ongoing efforts and achievements included:</w:t>
      </w:r>
    </w:p>
    <w:p w14:paraId="19893AF7" w14:textId="1D3C38E9" w:rsidR="00AE6047" w:rsidRDefault="0010206E" w:rsidP="00AA05E1">
      <w:pPr>
        <w:pStyle w:val="ListParagraph"/>
        <w:numPr>
          <w:ilvl w:val="0"/>
          <w:numId w:val="58"/>
        </w:numPr>
        <w:spacing w:before="120" w:after="0" w:line="276" w:lineRule="auto"/>
        <w:contextualSpacing w:val="0"/>
        <w:jc w:val="both"/>
        <w:rPr>
          <w:rFonts w:ascii="Cambria" w:hAnsi="Cambria"/>
          <w:bCs/>
          <w:sz w:val="24"/>
          <w:szCs w:val="24"/>
        </w:rPr>
      </w:pPr>
      <w:r w:rsidRPr="00BC03F5">
        <w:rPr>
          <w:rFonts w:ascii="Cambria" w:hAnsi="Cambria"/>
          <w:b/>
          <w:sz w:val="24"/>
          <w:szCs w:val="24"/>
        </w:rPr>
        <w:t>Maintenance of SCIF Accreditation.</w:t>
      </w:r>
      <w:r>
        <w:rPr>
          <w:rFonts w:ascii="Cambria" w:hAnsi="Cambria"/>
          <w:bCs/>
          <w:sz w:val="24"/>
          <w:szCs w:val="24"/>
        </w:rPr>
        <w:t xml:space="preserve"> </w:t>
      </w:r>
      <w:r w:rsidR="004679FC">
        <w:rPr>
          <w:rFonts w:ascii="Cambria" w:hAnsi="Cambria"/>
          <w:bCs/>
          <w:sz w:val="24"/>
          <w:szCs w:val="24"/>
        </w:rPr>
        <w:t xml:space="preserve">The highly sensitive information that the agency handles requires a secure area where classified information can be stored, discussed, and processed. The majority of PCLOB’s headquarters office space is </w:t>
      </w:r>
      <w:r w:rsidR="00B41BEE">
        <w:rPr>
          <w:rFonts w:ascii="Cambria" w:hAnsi="Cambria"/>
          <w:bCs/>
          <w:sz w:val="24"/>
          <w:szCs w:val="24"/>
        </w:rPr>
        <w:t xml:space="preserve">in </w:t>
      </w:r>
      <w:r w:rsidR="004679FC">
        <w:rPr>
          <w:rFonts w:ascii="Cambria" w:hAnsi="Cambria"/>
          <w:bCs/>
          <w:sz w:val="24"/>
          <w:szCs w:val="24"/>
        </w:rPr>
        <w:t>a SCIF, built to meet the strict security standards set by the Director of National Intelligence</w:t>
      </w:r>
      <w:r w:rsidR="002D2935">
        <w:rPr>
          <w:rFonts w:ascii="Cambria" w:hAnsi="Cambria"/>
          <w:bCs/>
          <w:sz w:val="24"/>
          <w:szCs w:val="24"/>
        </w:rPr>
        <w:t xml:space="preserve"> and subject to </w:t>
      </w:r>
      <w:r w:rsidR="00AE6047">
        <w:rPr>
          <w:rFonts w:ascii="Cambria" w:hAnsi="Cambria"/>
          <w:bCs/>
          <w:sz w:val="24"/>
          <w:szCs w:val="24"/>
        </w:rPr>
        <w:t>accreditation which includes continuous monitoring, periodic re-evaluations, and document reviews</w:t>
      </w:r>
      <w:r w:rsidR="004679FC">
        <w:rPr>
          <w:rFonts w:ascii="Cambria" w:hAnsi="Cambria"/>
          <w:bCs/>
          <w:sz w:val="24"/>
          <w:szCs w:val="24"/>
        </w:rPr>
        <w:t>.</w:t>
      </w:r>
      <w:r w:rsidR="002D2935">
        <w:rPr>
          <w:rFonts w:ascii="Cambria" w:hAnsi="Cambria"/>
          <w:bCs/>
          <w:sz w:val="24"/>
          <w:szCs w:val="24"/>
        </w:rPr>
        <w:t xml:space="preserve"> </w:t>
      </w:r>
    </w:p>
    <w:p w14:paraId="74AAF4B1" w14:textId="77777777" w:rsidR="003200BC" w:rsidRDefault="003200BC">
      <w:pPr>
        <w:rPr>
          <w:rFonts w:ascii="Cambria" w:hAnsi="Cambria"/>
          <w:b/>
          <w:sz w:val="24"/>
          <w:szCs w:val="24"/>
        </w:rPr>
      </w:pPr>
      <w:r>
        <w:rPr>
          <w:rFonts w:ascii="Cambria" w:hAnsi="Cambria"/>
          <w:b/>
          <w:sz w:val="24"/>
          <w:szCs w:val="24"/>
        </w:rPr>
        <w:br w:type="page"/>
      </w:r>
    </w:p>
    <w:p w14:paraId="68C9A927" w14:textId="76BD8B39" w:rsidR="00AE6047" w:rsidRDefault="00AE6047" w:rsidP="003200BC">
      <w:pPr>
        <w:pStyle w:val="ListParagraph"/>
        <w:numPr>
          <w:ilvl w:val="0"/>
          <w:numId w:val="58"/>
        </w:numPr>
        <w:spacing w:before="120" w:after="0" w:line="276" w:lineRule="auto"/>
        <w:contextualSpacing w:val="0"/>
        <w:jc w:val="both"/>
        <w:rPr>
          <w:rFonts w:ascii="Cambria" w:hAnsi="Cambria"/>
          <w:bCs/>
          <w:sz w:val="24"/>
          <w:szCs w:val="24"/>
        </w:rPr>
      </w:pPr>
      <w:r w:rsidRPr="00BC03F5">
        <w:rPr>
          <w:rFonts w:ascii="Cambria" w:hAnsi="Cambria"/>
          <w:b/>
          <w:sz w:val="24"/>
          <w:szCs w:val="24"/>
        </w:rPr>
        <w:lastRenderedPageBreak/>
        <w:t xml:space="preserve">Implementation of </w:t>
      </w:r>
      <w:hyperlink r:id="rId81" w:history="1">
        <w:r w:rsidRPr="00207824">
          <w:rPr>
            <w:rStyle w:val="Hyperlink"/>
            <w:rFonts w:ascii="Cambria" w:hAnsi="Cambria"/>
            <w:b/>
            <w:sz w:val="24"/>
            <w:szCs w:val="24"/>
          </w:rPr>
          <w:t>EO 13587,</w:t>
        </w:r>
        <w:r w:rsidRPr="00207824">
          <w:rPr>
            <w:rStyle w:val="Hyperlink"/>
            <w:rFonts w:ascii="Cambria" w:hAnsi="Cambria"/>
            <w:bCs/>
            <w:sz w:val="24"/>
            <w:szCs w:val="24"/>
          </w:rPr>
          <w:t xml:space="preserve"> </w:t>
        </w:r>
        <w:r w:rsidRPr="00207824">
          <w:rPr>
            <w:rStyle w:val="Hyperlink"/>
            <w:rFonts w:ascii="Cambria" w:hAnsi="Cambria"/>
            <w:b/>
            <w:i/>
            <w:iCs/>
            <w:sz w:val="24"/>
            <w:szCs w:val="24"/>
          </w:rPr>
          <w:t>Structural Reforms to Improve the Security of Classified Networks and the Responsible Sharing and Safeguarding of Classified Information</w:t>
        </w:r>
      </w:hyperlink>
      <w:r w:rsidRPr="00BC03F5">
        <w:rPr>
          <w:rFonts w:ascii="Cambria" w:hAnsi="Cambria"/>
          <w:b/>
          <w:i/>
          <w:iCs/>
          <w:sz w:val="24"/>
          <w:szCs w:val="24"/>
        </w:rPr>
        <w:t>.</w:t>
      </w:r>
      <w:r w:rsidRPr="00AE6047" w:rsidDel="00AE6047">
        <w:rPr>
          <w:rFonts w:ascii="Cambria" w:hAnsi="Cambria"/>
          <w:bCs/>
          <w:sz w:val="24"/>
          <w:szCs w:val="24"/>
        </w:rPr>
        <w:t xml:space="preserve"> </w:t>
      </w:r>
      <w:r w:rsidRPr="00AE6047">
        <w:rPr>
          <w:rFonts w:ascii="Cambria" w:hAnsi="Cambria"/>
          <w:bCs/>
          <w:sz w:val="24"/>
          <w:szCs w:val="24"/>
        </w:rPr>
        <w:t>PCLOB</w:t>
      </w:r>
      <w:r w:rsidR="007C7E4B">
        <w:rPr>
          <w:rFonts w:ascii="Cambria" w:hAnsi="Cambria"/>
          <w:bCs/>
          <w:sz w:val="24"/>
          <w:szCs w:val="24"/>
        </w:rPr>
        <w:t xml:space="preserve"> maintain</w:t>
      </w:r>
      <w:r w:rsidR="001E470F">
        <w:rPr>
          <w:rFonts w:ascii="Cambria" w:hAnsi="Cambria"/>
          <w:bCs/>
          <w:sz w:val="24"/>
          <w:szCs w:val="24"/>
        </w:rPr>
        <w:t>ed</w:t>
      </w:r>
      <w:r w:rsidR="007C7E4B">
        <w:rPr>
          <w:rFonts w:ascii="Cambria" w:hAnsi="Cambria"/>
          <w:bCs/>
          <w:sz w:val="24"/>
          <w:szCs w:val="24"/>
        </w:rPr>
        <w:t xml:space="preserve"> its I</w:t>
      </w:r>
      <w:r w:rsidRPr="00AE6047">
        <w:rPr>
          <w:rFonts w:ascii="Cambria" w:hAnsi="Cambria"/>
          <w:bCs/>
          <w:sz w:val="24"/>
          <w:szCs w:val="24"/>
        </w:rPr>
        <w:t xml:space="preserve">nsider </w:t>
      </w:r>
      <w:r w:rsidR="007C7E4B">
        <w:rPr>
          <w:rFonts w:ascii="Cambria" w:hAnsi="Cambria"/>
          <w:bCs/>
          <w:sz w:val="24"/>
          <w:szCs w:val="24"/>
        </w:rPr>
        <w:t>T</w:t>
      </w:r>
      <w:r w:rsidRPr="00AE6047">
        <w:rPr>
          <w:rFonts w:ascii="Cambria" w:hAnsi="Cambria"/>
          <w:bCs/>
          <w:sz w:val="24"/>
          <w:szCs w:val="24"/>
        </w:rPr>
        <w:t xml:space="preserve">hreat program </w:t>
      </w:r>
      <w:r w:rsidR="007C7E4B">
        <w:rPr>
          <w:rFonts w:ascii="Cambria" w:hAnsi="Cambria"/>
          <w:bCs/>
          <w:sz w:val="24"/>
          <w:szCs w:val="24"/>
        </w:rPr>
        <w:t xml:space="preserve">in accordance with </w:t>
      </w:r>
      <w:r w:rsidRPr="00AE6047">
        <w:rPr>
          <w:rFonts w:ascii="Cambria" w:hAnsi="Cambria"/>
          <w:bCs/>
          <w:sz w:val="24"/>
          <w:szCs w:val="24"/>
        </w:rPr>
        <w:t>EO 13587</w:t>
      </w:r>
      <w:r w:rsidR="007C7E4B">
        <w:rPr>
          <w:rFonts w:ascii="Cambria" w:hAnsi="Cambria"/>
          <w:bCs/>
          <w:sz w:val="24"/>
          <w:szCs w:val="24"/>
        </w:rPr>
        <w:t xml:space="preserve"> to deter, detect, and mitigate actions by insiders who represent a threat to national security.</w:t>
      </w:r>
      <w:r w:rsidR="00D87F35">
        <w:rPr>
          <w:rFonts w:ascii="Cambria" w:hAnsi="Cambria"/>
          <w:bCs/>
          <w:sz w:val="24"/>
          <w:szCs w:val="24"/>
        </w:rPr>
        <w:t xml:space="preserve"> </w:t>
      </w:r>
    </w:p>
    <w:p w14:paraId="71E3AC3E" w14:textId="62087CCA" w:rsidR="00161A0F" w:rsidRPr="00BC03F5" w:rsidRDefault="007C7E4B" w:rsidP="003200BC">
      <w:pPr>
        <w:pStyle w:val="ListParagraph"/>
        <w:keepNext/>
        <w:keepLines/>
        <w:numPr>
          <w:ilvl w:val="0"/>
          <w:numId w:val="58"/>
        </w:numPr>
        <w:spacing w:before="240" w:after="0" w:line="276" w:lineRule="auto"/>
        <w:contextualSpacing w:val="0"/>
        <w:jc w:val="both"/>
        <w:rPr>
          <w:rFonts w:ascii="Cambria" w:hAnsi="Cambria"/>
          <w:bCs/>
          <w:sz w:val="24"/>
          <w:szCs w:val="24"/>
        </w:rPr>
      </w:pPr>
      <w:r w:rsidRPr="00BC03F5">
        <w:rPr>
          <w:rFonts w:ascii="Cambria" w:hAnsi="Cambria"/>
          <w:b/>
          <w:sz w:val="24"/>
          <w:szCs w:val="24"/>
        </w:rPr>
        <w:t xml:space="preserve">Vetting of PCLOB Workforce for </w:t>
      </w:r>
      <w:r w:rsidR="00D87F35">
        <w:rPr>
          <w:rFonts w:ascii="Cambria" w:hAnsi="Cambria"/>
          <w:b/>
          <w:sz w:val="24"/>
          <w:szCs w:val="24"/>
        </w:rPr>
        <w:t xml:space="preserve">Required </w:t>
      </w:r>
      <w:r w:rsidRPr="00BC03F5">
        <w:rPr>
          <w:rFonts w:ascii="Cambria" w:hAnsi="Cambria"/>
          <w:b/>
          <w:sz w:val="24"/>
          <w:szCs w:val="24"/>
        </w:rPr>
        <w:t>Security Access</w:t>
      </w:r>
      <w:r>
        <w:rPr>
          <w:rFonts w:ascii="Cambria" w:hAnsi="Cambria"/>
          <w:bCs/>
          <w:sz w:val="24"/>
          <w:szCs w:val="24"/>
        </w:rPr>
        <w:t>. PCLOB</w:t>
      </w:r>
      <w:r w:rsidR="00DA6FF4">
        <w:rPr>
          <w:rFonts w:ascii="Cambria" w:hAnsi="Cambria"/>
          <w:bCs/>
          <w:sz w:val="24"/>
          <w:szCs w:val="24"/>
        </w:rPr>
        <w:t xml:space="preserve"> </w:t>
      </w:r>
      <w:r w:rsidR="00161A0F" w:rsidRPr="00BC03F5">
        <w:rPr>
          <w:rFonts w:ascii="Cambria" w:hAnsi="Cambria"/>
          <w:bCs/>
          <w:sz w:val="24"/>
          <w:szCs w:val="24"/>
        </w:rPr>
        <w:t xml:space="preserve">continues to engage in government-wide efforts to modernize the security clearance process. This includes continued implementation of Trusted Workforce (TW) 2.0. and </w:t>
      </w:r>
      <w:r w:rsidR="00B63BA5">
        <w:rPr>
          <w:rFonts w:ascii="Cambria" w:hAnsi="Cambria"/>
          <w:bCs/>
          <w:sz w:val="24"/>
          <w:szCs w:val="24"/>
        </w:rPr>
        <w:t xml:space="preserve">National Security Presidential Memorandum </w:t>
      </w:r>
      <w:r w:rsidR="00161A0F" w:rsidRPr="00BC03F5">
        <w:rPr>
          <w:rFonts w:ascii="Cambria" w:hAnsi="Cambria"/>
          <w:bCs/>
          <w:sz w:val="24"/>
          <w:szCs w:val="24"/>
        </w:rPr>
        <w:t>28, which directs agencies to implement an Operations Security program</w:t>
      </w:r>
      <w:r w:rsidR="00AE6047">
        <w:rPr>
          <w:rFonts w:ascii="Cambria" w:hAnsi="Cambria"/>
          <w:bCs/>
          <w:sz w:val="24"/>
          <w:szCs w:val="24"/>
        </w:rPr>
        <w:t>.</w:t>
      </w:r>
      <w:r w:rsidR="00161A0F" w:rsidRPr="00BC03F5">
        <w:rPr>
          <w:rFonts w:ascii="Cambria" w:hAnsi="Cambria"/>
          <w:bCs/>
          <w:sz w:val="24"/>
          <w:szCs w:val="24"/>
        </w:rPr>
        <w:t xml:space="preserve"> PCLOB also continues its efforts to ensure Controlled Unclassified Information received from partner agencies is protected.</w:t>
      </w:r>
    </w:p>
    <w:p w14:paraId="51FA35A4" w14:textId="33A62EEB" w:rsidR="00C6317B" w:rsidRDefault="003200BC">
      <w:pPr>
        <w:rPr>
          <w:rFonts w:ascii="Cambria" w:hAnsi="Cambria"/>
          <w:bCs/>
          <w:sz w:val="24"/>
          <w:szCs w:val="24"/>
        </w:rPr>
      </w:pPr>
      <w:r w:rsidRPr="003E3525">
        <w:rPr>
          <w:rFonts w:ascii="Cambria" w:hAnsi="Cambria"/>
          <w:b/>
          <w:bCs/>
          <w:noProof/>
          <w:color w:val="FFFFFF" w:themeColor="background1"/>
          <w:sz w:val="24"/>
          <w:szCs w:val="24"/>
        </w:rPr>
        <mc:AlternateContent>
          <mc:Choice Requires="wps">
            <w:drawing>
              <wp:anchor distT="0" distB="0" distL="114300" distR="114300" simplePos="0" relativeHeight="251802112" behindDoc="1" locked="0" layoutInCell="1" allowOverlap="1" wp14:anchorId="1135962A" wp14:editId="36452C15">
                <wp:simplePos x="0" y="0"/>
                <wp:positionH relativeFrom="page">
                  <wp:posOffset>628650</wp:posOffset>
                </wp:positionH>
                <wp:positionV relativeFrom="page">
                  <wp:posOffset>3829050</wp:posOffset>
                </wp:positionV>
                <wp:extent cx="6459855" cy="3971925"/>
                <wp:effectExtent l="38100" t="38100" r="112395" b="123825"/>
                <wp:wrapNone/>
                <wp:docPr id="24412241" name="Rectangle 39"/>
                <wp:cNvGraphicFramePr/>
                <a:graphic xmlns:a="http://schemas.openxmlformats.org/drawingml/2006/main">
                  <a:graphicData uri="http://schemas.microsoft.com/office/word/2010/wordprocessingShape">
                    <wps:wsp>
                      <wps:cNvSpPr/>
                      <wps:spPr>
                        <a:xfrm>
                          <a:off x="0" y="0"/>
                          <a:ext cx="6459855" cy="3971925"/>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4BA54" id="Rectangle 39" o:spid="_x0000_s1026" style="position:absolute;margin-left:49.5pt;margin-top:301.5pt;width:508.65pt;height:312.75pt;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" filled="f" strokecolor="#002060" strokeweight="1.5pt">
                <v:shadow on="t" color="black" opacity="26214f" origin="-.5,-.5" offset=".74836mm,.74836mm"/>
                <w10:wrap anchorx="page" anchory="page"/>
              </v:rect>
            </w:pict>
          </mc:Fallback>
        </mc:AlternateContent>
      </w:r>
    </w:p>
    <w:p w14:paraId="3F3377AF" w14:textId="52020C7E" w:rsidR="005D5DA8" w:rsidRPr="00182D44" w:rsidRDefault="005D5DA8" w:rsidP="005D5DA8">
      <w:pPr>
        <w:rPr>
          <w:rFonts w:ascii="Cambria" w:hAnsi="Cambria"/>
          <w:b/>
          <w:bCs/>
          <w:sz w:val="24"/>
          <w:szCs w:val="24"/>
        </w:rPr>
      </w:pPr>
      <w:r w:rsidRPr="00182D44">
        <w:rPr>
          <w:rFonts w:ascii="Cambria" w:hAnsi="Cambria"/>
          <w:b/>
          <w:bCs/>
          <w:sz w:val="24"/>
          <w:szCs w:val="24"/>
        </w:rPr>
        <w:t xml:space="preserve">FY </w:t>
      </w:r>
      <w:r w:rsidR="0049075B">
        <w:rPr>
          <w:rFonts w:ascii="Cambria" w:hAnsi="Cambria"/>
          <w:b/>
          <w:bCs/>
          <w:sz w:val="24"/>
          <w:szCs w:val="24"/>
        </w:rPr>
        <w:t>2025</w:t>
      </w:r>
      <w:r w:rsidRPr="00182D44">
        <w:rPr>
          <w:rFonts w:ascii="Cambria" w:hAnsi="Cambria"/>
          <w:b/>
          <w:bCs/>
          <w:sz w:val="24"/>
          <w:szCs w:val="24"/>
        </w:rPr>
        <w:t xml:space="preserve"> Performance Results: Strategic Goal 5</w:t>
      </w:r>
    </w:p>
    <w:p w14:paraId="169B3EF4" w14:textId="450592E5" w:rsidR="00E90909" w:rsidRDefault="00E90909" w:rsidP="00E90909">
      <w:pPr>
        <w:spacing w:line="276" w:lineRule="auto"/>
        <w:jc w:val="both"/>
        <w:rPr>
          <w:rFonts w:ascii="Cambria" w:eastAsia="Times New Roman" w:hAnsi="Cambria"/>
          <w:bCs/>
          <w:noProof/>
          <w:sz w:val="24"/>
          <w:szCs w:val="24"/>
        </w:rPr>
      </w:pPr>
      <w:r w:rsidRPr="00E32E62">
        <w:rPr>
          <w:rFonts w:ascii="Cambria" w:eastAsia="Times New Roman" w:hAnsi="Cambria"/>
          <w:bCs/>
          <w:noProof/>
          <w:sz w:val="24"/>
          <w:szCs w:val="24"/>
        </w:rPr>
        <w:t xml:space="preserve">As depicted in the graphic below, </w:t>
      </w:r>
      <w:r w:rsidR="005F366C">
        <w:rPr>
          <w:rFonts w:ascii="Cambria" w:eastAsia="Times New Roman" w:hAnsi="Cambria"/>
          <w:bCs/>
          <w:noProof/>
          <w:sz w:val="24"/>
          <w:szCs w:val="24"/>
        </w:rPr>
        <w:t>PCLOB</w:t>
      </w:r>
      <w:r w:rsidRPr="00E32E62">
        <w:rPr>
          <w:rFonts w:ascii="Cambria" w:eastAsia="Times New Roman" w:hAnsi="Cambria"/>
          <w:bCs/>
          <w:noProof/>
          <w:sz w:val="24"/>
          <w:szCs w:val="24"/>
        </w:rPr>
        <w:t xml:space="preserve"> was tracking to meet </w:t>
      </w:r>
      <w:r w:rsidR="000131E7">
        <w:rPr>
          <w:rFonts w:ascii="Cambria" w:eastAsia="Times New Roman" w:hAnsi="Cambria"/>
          <w:b/>
          <w:noProof/>
          <w:sz w:val="24"/>
          <w:szCs w:val="24"/>
        </w:rPr>
        <w:t>1</w:t>
      </w:r>
      <w:r w:rsidR="00F16285">
        <w:rPr>
          <w:rFonts w:ascii="Cambria" w:eastAsia="Times New Roman" w:hAnsi="Cambria"/>
          <w:b/>
          <w:noProof/>
          <w:sz w:val="24"/>
          <w:szCs w:val="24"/>
        </w:rPr>
        <w:t>5</w:t>
      </w:r>
      <w:r w:rsidR="000131E7" w:rsidRPr="00E32E62">
        <w:rPr>
          <w:rFonts w:ascii="Cambria" w:eastAsia="Times New Roman" w:hAnsi="Cambria"/>
          <w:bCs/>
          <w:noProof/>
          <w:sz w:val="24"/>
          <w:szCs w:val="24"/>
        </w:rPr>
        <w:t xml:space="preserve"> </w:t>
      </w:r>
      <w:r w:rsidRPr="00E32E62">
        <w:rPr>
          <w:rFonts w:ascii="Cambria" w:eastAsia="Times New Roman" w:hAnsi="Cambria"/>
          <w:bCs/>
          <w:noProof/>
          <w:sz w:val="24"/>
          <w:szCs w:val="24"/>
        </w:rPr>
        <w:t xml:space="preserve">of </w:t>
      </w:r>
      <w:r w:rsidR="0077495C">
        <w:rPr>
          <w:rFonts w:ascii="Cambria" w:eastAsia="Times New Roman" w:hAnsi="Cambria"/>
          <w:b/>
          <w:noProof/>
          <w:sz w:val="24"/>
          <w:szCs w:val="24"/>
        </w:rPr>
        <w:t>23</w:t>
      </w:r>
      <w:r>
        <w:rPr>
          <w:rFonts w:ascii="Cambria" w:eastAsia="Times New Roman" w:hAnsi="Cambria"/>
          <w:b/>
          <w:noProof/>
          <w:sz w:val="24"/>
          <w:szCs w:val="24"/>
        </w:rPr>
        <w:t xml:space="preserve"> </w:t>
      </w:r>
      <w:r>
        <w:rPr>
          <w:rFonts w:ascii="Cambria" w:eastAsia="Times New Roman" w:hAnsi="Cambria"/>
          <w:bCs/>
          <w:noProof/>
          <w:sz w:val="24"/>
          <w:szCs w:val="24"/>
        </w:rPr>
        <w:t xml:space="preserve">(or </w:t>
      </w:r>
      <w:r w:rsidR="00087440">
        <w:rPr>
          <w:rFonts w:ascii="Cambria" w:eastAsia="Times New Roman" w:hAnsi="Cambria"/>
          <w:bCs/>
          <w:noProof/>
          <w:sz w:val="24"/>
          <w:szCs w:val="24"/>
        </w:rPr>
        <w:t>6</w:t>
      </w:r>
      <w:r w:rsidR="00F16285">
        <w:rPr>
          <w:rFonts w:ascii="Cambria" w:eastAsia="Times New Roman" w:hAnsi="Cambria"/>
          <w:bCs/>
          <w:noProof/>
          <w:sz w:val="24"/>
          <w:szCs w:val="24"/>
        </w:rPr>
        <w:t>5</w:t>
      </w:r>
      <w:r w:rsidR="000131E7" w:rsidRPr="000131E7">
        <w:rPr>
          <w:rFonts w:ascii="Cambria" w:eastAsia="Times New Roman" w:hAnsi="Cambria"/>
          <w:bCs/>
          <w:noProof/>
          <w:sz w:val="24"/>
          <w:szCs w:val="24"/>
        </w:rPr>
        <w:t>%)</w:t>
      </w:r>
      <w:r w:rsidR="000131E7" w:rsidRPr="00E32E62">
        <w:rPr>
          <w:rFonts w:ascii="Cambria" w:eastAsia="Times New Roman" w:hAnsi="Cambria"/>
          <w:bCs/>
          <w:noProof/>
          <w:sz w:val="24"/>
          <w:szCs w:val="24"/>
        </w:rPr>
        <w:t xml:space="preserve"> </w:t>
      </w:r>
      <w:r w:rsidRPr="00E32E62">
        <w:rPr>
          <w:rFonts w:ascii="Cambria" w:eastAsia="Times New Roman" w:hAnsi="Cambria"/>
          <w:bCs/>
          <w:noProof/>
          <w:sz w:val="24"/>
          <w:szCs w:val="24"/>
        </w:rPr>
        <w:t>established performance indicators under this strategic goal by the end of FY 2025.</w:t>
      </w:r>
    </w:p>
    <w:p w14:paraId="1D6A6ED9" w14:textId="3BD6658F" w:rsidR="003200BC" w:rsidRDefault="00FB0C8C" w:rsidP="00BD6D1A">
      <w:pPr>
        <w:spacing w:line="276" w:lineRule="auto"/>
        <w:jc w:val="both"/>
        <w:rPr>
          <w:rFonts w:ascii="Cambria" w:eastAsia="Times New Roman" w:hAnsi="Cambria"/>
          <w:bCs/>
          <w:noProof/>
          <w:sz w:val="24"/>
          <w:szCs w:val="24"/>
        </w:rPr>
      </w:pPr>
      <w:r w:rsidRPr="00FB0C8C">
        <w:rPr>
          <w:rFonts w:ascii="Cambria" w:eastAsia="Times New Roman" w:hAnsi="Cambria"/>
          <w:bCs/>
          <w:noProof/>
          <w:sz w:val="24"/>
          <w:szCs w:val="24"/>
        </w:rPr>
        <w:t xml:space="preserve">PCLOB </w:t>
      </w:r>
      <w:r w:rsidR="004A7284">
        <w:rPr>
          <w:rFonts w:ascii="Cambria" w:eastAsia="Times New Roman" w:hAnsi="Cambria"/>
          <w:bCs/>
          <w:noProof/>
          <w:sz w:val="24"/>
          <w:szCs w:val="24"/>
        </w:rPr>
        <w:t>developed</w:t>
      </w:r>
      <w:r w:rsidRPr="00FB0C8C">
        <w:rPr>
          <w:rFonts w:ascii="Cambria" w:eastAsia="Times New Roman" w:hAnsi="Cambria"/>
          <w:bCs/>
          <w:noProof/>
          <w:sz w:val="24"/>
          <w:szCs w:val="24"/>
        </w:rPr>
        <w:t xml:space="preserve"> a comprehensive list of performance measures concerning institutional strength because a stronger and more capable agency enhances the potential for achieving its mission.</w:t>
      </w:r>
      <w:r>
        <w:rPr>
          <w:rFonts w:ascii="Cambria" w:eastAsia="Times New Roman" w:hAnsi="Cambria"/>
          <w:bCs/>
          <w:noProof/>
          <w:sz w:val="24"/>
          <w:szCs w:val="24"/>
        </w:rPr>
        <w:t xml:space="preserve"> The agency successfully met targets for the majority of the measures; </w:t>
      </w:r>
      <w:r w:rsidR="00BD6D1A">
        <w:rPr>
          <w:rFonts w:ascii="Cambria" w:eastAsia="Times New Roman" w:hAnsi="Cambria"/>
          <w:bCs/>
          <w:noProof/>
          <w:sz w:val="24"/>
          <w:szCs w:val="24"/>
        </w:rPr>
        <w:t>of note, t</w:t>
      </w:r>
      <w:r w:rsidR="00797596" w:rsidRPr="0019237F">
        <w:rPr>
          <w:rFonts w:ascii="Cambria" w:eastAsia="Times New Roman" w:hAnsi="Cambria"/>
          <w:bCs/>
          <w:noProof/>
          <w:sz w:val="24"/>
          <w:szCs w:val="24"/>
        </w:rPr>
        <w:t>he agency enhanced its tracking of training</w:t>
      </w:r>
      <w:r w:rsidR="00C915FF">
        <w:rPr>
          <w:rFonts w:ascii="Cambria" w:eastAsia="Times New Roman" w:hAnsi="Cambria"/>
          <w:bCs/>
          <w:noProof/>
          <w:sz w:val="24"/>
          <w:szCs w:val="24"/>
        </w:rPr>
        <w:t xml:space="preserve">, </w:t>
      </w:r>
      <w:r w:rsidR="00797596" w:rsidRPr="0019237F">
        <w:rPr>
          <w:rFonts w:ascii="Cambria" w:eastAsia="Times New Roman" w:hAnsi="Cambria"/>
          <w:bCs/>
          <w:noProof/>
          <w:sz w:val="24"/>
          <w:szCs w:val="24"/>
        </w:rPr>
        <w:t>expanded the range of professional development opportunities available</w:t>
      </w:r>
      <w:r w:rsidR="00C915FF">
        <w:rPr>
          <w:rFonts w:ascii="Cambria" w:eastAsia="Times New Roman" w:hAnsi="Cambria"/>
          <w:bCs/>
          <w:noProof/>
          <w:sz w:val="24"/>
          <w:szCs w:val="24"/>
        </w:rPr>
        <w:t>,</w:t>
      </w:r>
      <w:r w:rsidR="00BD6D1A">
        <w:rPr>
          <w:rFonts w:ascii="Cambria" w:eastAsia="Times New Roman" w:hAnsi="Cambria"/>
          <w:bCs/>
          <w:noProof/>
          <w:sz w:val="24"/>
          <w:szCs w:val="24"/>
        </w:rPr>
        <w:t xml:space="preserve"> and </w:t>
      </w:r>
      <w:r w:rsidR="00797596" w:rsidRPr="0019237F">
        <w:rPr>
          <w:rFonts w:ascii="Cambria" w:eastAsia="Times New Roman" w:hAnsi="Cambria"/>
          <w:bCs/>
          <w:noProof/>
          <w:sz w:val="24"/>
          <w:szCs w:val="24"/>
        </w:rPr>
        <w:t xml:space="preserve">exceeded its </w:t>
      </w:r>
      <w:r w:rsidR="00C915FF">
        <w:rPr>
          <w:rFonts w:ascii="Cambria" w:eastAsia="Times New Roman" w:hAnsi="Cambria"/>
          <w:bCs/>
          <w:noProof/>
          <w:sz w:val="24"/>
          <w:szCs w:val="24"/>
        </w:rPr>
        <w:t xml:space="preserve">reponse </w:t>
      </w:r>
      <w:r w:rsidR="00797596" w:rsidRPr="0019237F">
        <w:rPr>
          <w:rFonts w:ascii="Cambria" w:eastAsia="Times New Roman" w:hAnsi="Cambria"/>
          <w:bCs/>
          <w:noProof/>
          <w:sz w:val="24"/>
          <w:szCs w:val="24"/>
        </w:rPr>
        <w:t>targets related to Freedom of Information Act requests.</w:t>
      </w:r>
      <w:r w:rsidR="003200BC" w:rsidRPr="003200BC">
        <w:rPr>
          <w:rFonts w:ascii="Cambria" w:eastAsia="Times New Roman" w:hAnsi="Cambria"/>
          <w:bCs/>
          <w:noProof/>
          <w:sz w:val="24"/>
          <w:szCs w:val="24"/>
        </w:rPr>
        <w:t xml:space="preserve"> </w:t>
      </w:r>
    </w:p>
    <w:p w14:paraId="55F3525F" w14:textId="32365F28" w:rsidR="00F93A2E" w:rsidRDefault="004561ED" w:rsidP="00BD6D1A">
      <w:pPr>
        <w:spacing w:line="276" w:lineRule="auto"/>
        <w:jc w:val="both"/>
        <w:rPr>
          <w:rFonts w:ascii="Cambria" w:hAnsi="Cambria"/>
          <w:sz w:val="24"/>
          <w:szCs w:val="24"/>
        </w:rPr>
      </w:pPr>
      <w:r>
        <w:rPr>
          <w:rFonts w:ascii="Cambria" w:eastAsia="Times New Roman" w:hAnsi="Cambria"/>
          <w:bCs/>
          <w:noProof/>
          <w:sz w:val="24"/>
          <w:szCs w:val="24"/>
        </w:rPr>
        <w:t xml:space="preserve">While </w:t>
      </w:r>
      <w:r w:rsidR="003200BC">
        <w:rPr>
          <w:rFonts w:ascii="Cambria" w:hAnsi="Cambria"/>
          <w:sz w:val="24"/>
          <w:szCs w:val="24"/>
        </w:rPr>
        <w:t xml:space="preserve">some unmet metrics indicated areas for continued development and growth, some metrics could not be achieved due to constraints outside of PCLOB’s control. For example, the Board’s sub-quorum status limited </w:t>
      </w:r>
      <w:r w:rsidR="003200BC" w:rsidRPr="00C4439A">
        <w:rPr>
          <w:rFonts w:ascii="Cambria" w:hAnsi="Cambria"/>
          <w:sz w:val="24"/>
          <w:szCs w:val="24"/>
        </w:rPr>
        <w:t>policy update</w:t>
      </w:r>
      <w:r w:rsidR="0062354C">
        <w:rPr>
          <w:rFonts w:ascii="Cambria" w:hAnsi="Cambria"/>
          <w:sz w:val="24"/>
          <w:szCs w:val="24"/>
        </w:rPr>
        <w:t>s</w:t>
      </w:r>
      <w:r w:rsidR="003200BC">
        <w:rPr>
          <w:rFonts w:ascii="Cambria" w:hAnsi="Cambria"/>
          <w:sz w:val="24"/>
          <w:szCs w:val="24"/>
        </w:rPr>
        <w:t xml:space="preserve"> in FY 2025</w:t>
      </w:r>
      <w:r w:rsidR="00C915FF">
        <w:rPr>
          <w:rFonts w:ascii="Cambria" w:hAnsi="Cambria"/>
          <w:sz w:val="24"/>
          <w:szCs w:val="24"/>
        </w:rPr>
        <w:t xml:space="preserve"> since</w:t>
      </w:r>
      <w:r w:rsidR="00664B43">
        <w:rPr>
          <w:rFonts w:ascii="Cambria" w:hAnsi="Cambria"/>
          <w:sz w:val="24"/>
          <w:szCs w:val="24"/>
        </w:rPr>
        <w:t xml:space="preserve"> </w:t>
      </w:r>
      <w:r w:rsidR="0062354C">
        <w:rPr>
          <w:rFonts w:ascii="Cambria" w:hAnsi="Cambria"/>
          <w:sz w:val="24"/>
          <w:szCs w:val="24"/>
        </w:rPr>
        <w:t>formal</w:t>
      </w:r>
      <w:r w:rsidR="00664B43">
        <w:rPr>
          <w:rFonts w:ascii="Cambria" w:hAnsi="Cambria"/>
          <w:sz w:val="24"/>
          <w:szCs w:val="24"/>
        </w:rPr>
        <w:t xml:space="preserve"> agency polic</w:t>
      </w:r>
      <w:r w:rsidR="0062354C">
        <w:rPr>
          <w:rFonts w:ascii="Cambria" w:hAnsi="Cambria"/>
          <w:sz w:val="24"/>
          <w:szCs w:val="24"/>
        </w:rPr>
        <w:t>ies</w:t>
      </w:r>
      <w:r w:rsidR="00664B43">
        <w:rPr>
          <w:rFonts w:ascii="Cambria" w:hAnsi="Cambria"/>
          <w:sz w:val="24"/>
          <w:szCs w:val="24"/>
        </w:rPr>
        <w:t xml:space="preserve"> can only be </w:t>
      </w:r>
      <w:r w:rsidR="0062354C">
        <w:rPr>
          <w:rFonts w:ascii="Cambria" w:hAnsi="Cambria"/>
          <w:sz w:val="24"/>
          <w:szCs w:val="24"/>
        </w:rPr>
        <w:t>formulated or implemented</w:t>
      </w:r>
      <w:r w:rsidR="00664B43">
        <w:rPr>
          <w:rFonts w:ascii="Cambria" w:hAnsi="Cambria"/>
          <w:sz w:val="24"/>
          <w:szCs w:val="24"/>
        </w:rPr>
        <w:t xml:space="preserve"> by a quorate Board.</w:t>
      </w:r>
      <w:r w:rsidR="00CB6A87">
        <w:rPr>
          <w:rFonts w:ascii="Cambria" w:hAnsi="Cambria"/>
          <w:sz w:val="24"/>
          <w:szCs w:val="24"/>
        </w:rPr>
        <w:t xml:space="preserve"> Further, the agency lost its equal employment opportunity director in early FY 2025, resulting in some missed reporting requirements</w:t>
      </w:r>
      <w:r>
        <w:rPr>
          <w:rFonts w:ascii="Cambria" w:hAnsi="Cambria"/>
          <w:sz w:val="24"/>
          <w:szCs w:val="24"/>
        </w:rPr>
        <w:t>.</w:t>
      </w:r>
      <w:r w:rsidR="00CB6A87">
        <w:rPr>
          <w:rFonts w:ascii="Cambria" w:hAnsi="Cambria"/>
          <w:sz w:val="24"/>
          <w:szCs w:val="24"/>
        </w:rPr>
        <w:t xml:space="preserve"> Other metrics</w:t>
      </w:r>
      <w:r>
        <w:rPr>
          <w:rFonts w:ascii="Cambria" w:hAnsi="Cambria"/>
          <w:sz w:val="24"/>
          <w:szCs w:val="24"/>
        </w:rPr>
        <w:t xml:space="preserve"> that were not met</w:t>
      </w:r>
      <w:r w:rsidR="002E6547">
        <w:rPr>
          <w:rFonts w:ascii="Cambria" w:hAnsi="Cambria"/>
          <w:sz w:val="24"/>
          <w:szCs w:val="24"/>
        </w:rPr>
        <w:t xml:space="preserve"> (e.g., </w:t>
      </w:r>
      <w:r>
        <w:rPr>
          <w:rFonts w:ascii="Cambria" w:hAnsi="Cambria"/>
          <w:sz w:val="24"/>
          <w:szCs w:val="24"/>
        </w:rPr>
        <w:t xml:space="preserve">several relating to completion rates of </w:t>
      </w:r>
      <w:r w:rsidR="00DF5C2E">
        <w:rPr>
          <w:rFonts w:ascii="Cambria" w:hAnsi="Cambria"/>
          <w:sz w:val="24"/>
          <w:szCs w:val="24"/>
        </w:rPr>
        <w:t>required staff</w:t>
      </w:r>
      <w:r>
        <w:rPr>
          <w:rFonts w:ascii="Cambria" w:hAnsi="Cambria"/>
          <w:sz w:val="24"/>
          <w:szCs w:val="24"/>
        </w:rPr>
        <w:t xml:space="preserve"> training</w:t>
      </w:r>
      <w:r w:rsidR="002E6547">
        <w:rPr>
          <w:rFonts w:ascii="Cambria" w:hAnsi="Cambria"/>
          <w:sz w:val="24"/>
          <w:szCs w:val="24"/>
        </w:rPr>
        <w:t>)</w:t>
      </w:r>
      <w:r>
        <w:rPr>
          <w:rFonts w:ascii="Cambria" w:hAnsi="Cambria"/>
          <w:sz w:val="24"/>
          <w:szCs w:val="24"/>
        </w:rPr>
        <w:t xml:space="preserve"> </w:t>
      </w:r>
      <w:r w:rsidR="009F5DC4">
        <w:rPr>
          <w:rFonts w:ascii="Cambria" w:hAnsi="Cambria"/>
          <w:sz w:val="24"/>
          <w:szCs w:val="24"/>
        </w:rPr>
        <w:t>highlight areas for improvement in FY 2026.</w:t>
      </w:r>
    </w:p>
    <w:p w14:paraId="7A844C89" w14:textId="77777777" w:rsidR="00F93A2E" w:rsidRDefault="00F93A2E">
      <w:pPr>
        <w:rPr>
          <w:rFonts w:ascii="Cambria" w:hAnsi="Cambria"/>
          <w:sz w:val="24"/>
          <w:szCs w:val="24"/>
        </w:rPr>
      </w:pPr>
      <w:r>
        <w:rPr>
          <w:rFonts w:ascii="Cambria" w:hAnsi="Cambria"/>
          <w:sz w:val="24"/>
          <w:szCs w:val="24"/>
        </w:rPr>
        <w:br w:type="page"/>
      </w:r>
    </w:p>
    <w:p w14:paraId="297834E1" w14:textId="1D746F04" w:rsidR="00F93A2E" w:rsidRDefault="00A76280">
      <w:pPr>
        <w:rPr>
          <w:rFonts w:ascii="Cambria" w:eastAsia="Times New Roman" w:hAnsi="Cambria"/>
          <w:bCs/>
          <w:noProof/>
          <w:sz w:val="24"/>
          <w:szCs w:val="24"/>
        </w:rPr>
      </w:pPr>
      <w:r w:rsidRPr="00A76280">
        <w:rPr>
          <w:rFonts w:ascii="Cambria" w:eastAsia="Times New Roman" w:hAnsi="Cambria"/>
          <w:bCs/>
          <w:noProof/>
          <w:sz w:val="24"/>
          <w:szCs w:val="24"/>
        </w:rPr>
        <w:lastRenderedPageBreak/>
        <w:drawing>
          <wp:anchor distT="0" distB="0" distL="114300" distR="114300" simplePos="0" relativeHeight="252240384" behindDoc="0" locked="0" layoutInCell="1" allowOverlap="1" wp14:anchorId="05E16A9F" wp14:editId="1669D38F">
            <wp:simplePos x="0" y="0"/>
            <wp:positionH relativeFrom="column">
              <wp:posOffset>0</wp:posOffset>
            </wp:positionH>
            <wp:positionV relativeFrom="page">
              <wp:posOffset>1377883</wp:posOffset>
            </wp:positionV>
            <wp:extent cx="5943600" cy="4834255"/>
            <wp:effectExtent l="0" t="0" r="0" b="4445"/>
            <wp:wrapSquare wrapText="bothSides"/>
            <wp:docPr id="19642992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834255"/>
                    </a:xfrm>
                    <a:prstGeom prst="rect">
                      <a:avLst/>
                    </a:prstGeom>
                    <a:noFill/>
                    <a:ln>
                      <a:noFill/>
                    </a:ln>
                  </pic:spPr>
                </pic:pic>
              </a:graphicData>
            </a:graphic>
          </wp:anchor>
        </w:drawing>
      </w:r>
      <w:r w:rsidR="00892BAD" w:rsidRPr="003E3525">
        <w:rPr>
          <w:rFonts w:ascii="Cambria" w:hAnsi="Cambria"/>
          <w:b/>
          <w:bCs/>
          <w:noProof/>
          <w:color w:val="FFFFFF" w:themeColor="background1"/>
          <w:sz w:val="24"/>
          <w:szCs w:val="24"/>
        </w:rPr>
        <mc:AlternateContent>
          <mc:Choice Requires="wps">
            <w:drawing>
              <wp:anchor distT="0" distB="0" distL="114300" distR="114300" simplePos="0" relativeHeight="252236288" behindDoc="1" locked="0" layoutInCell="1" allowOverlap="1" wp14:anchorId="1AF19E81" wp14:editId="72836E4D">
                <wp:simplePos x="0" y="0"/>
                <wp:positionH relativeFrom="page">
                  <wp:posOffset>638175</wp:posOffset>
                </wp:positionH>
                <wp:positionV relativeFrom="page">
                  <wp:posOffset>1209675</wp:posOffset>
                </wp:positionV>
                <wp:extent cx="6459855" cy="5229225"/>
                <wp:effectExtent l="38100" t="38100" r="112395" b="123825"/>
                <wp:wrapNone/>
                <wp:docPr id="794630745" name="Rectangle 39"/>
                <wp:cNvGraphicFramePr/>
                <a:graphic xmlns:a="http://schemas.openxmlformats.org/drawingml/2006/main">
                  <a:graphicData uri="http://schemas.microsoft.com/office/word/2010/wordprocessingShape">
                    <wps:wsp>
                      <wps:cNvSpPr/>
                      <wps:spPr>
                        <a:xfrm>
                          <a:off x="0" y="0"/>
                          <a:ext cx="6459855" cy="5229225"/>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8A1B6" id="Rectangle 39" o:spid="_x0000_s1026" style="position:absolute;margin-left:50.25pt;margin-top:95.25pt;width:508.65pt;height:411.75pt;z-index:-25108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" filled="f" strokecolor="#002060" strokeweight="1.5pt">
                <v:shadow on="t" color="black" opacity="26214f" origin="-.5,-.5" offset=".74836mm,.74836mm"/>
                <w10:wrap anchorx="page" anchory="page"/>
              </v:rect>
            </w:pict>
          </mc:Fallback>
        </mc:AlternateContent>
      </w:r>
      <w:r w:rsidR="00F93A2E">
        <w:rPr>
          <w:rFonts w:ascii="Cambria" w:eastAsia="Times New Roman" w:hAnsi="Cambria"/>
          <w:bCs/>
          <w:noProof/>
          <w:sz w:val="24"/>
          <w:szCs w:val="24"/>
        </w:rPr>
        <w:br w:type="page"/>
      </w:r>
    </w:p>
    <w:p w14:paraId="79F68C1F" w14:textId="52D2ADD7" w:rsidR="003200BC" w:rsidRDefault="00D52364" w:rsidP="00BD6D1A">
      <w:pPr>
        <w:spacing w:line="276" w:lineRule="auto"/>
        <w:jc w:val="both"/>
        <w:rPr>
          <w:rFonts w:ascii="Cambria" w:eastAsia="Times New Roman" w:hAnsi="Cambria"/>
          <w:bCs/>
          <w:noProof/>
          <w:sz w:val="24"/>
          <w:szCs w:val="24"/>
        </w:rPr>
      </w:pPr>
      <w:r w:rsidRPr="00D52364">
        <w:rPr>
          <w:rFonts w:ascii="Cambria" w:eastAsia="Times New Roman" w:hAnsi="Cambria"/>
          <w:bCs/>
          <w:noProof/>
          <w:sz w:val="24"/>
          <w:szCs w:val="24"/>
        </w:rPr>
        <w:lastRenderedPageBreak/>
        <w:drawing>
          <wp:anchor distT="0" distB="0" distL="114300" distR="114300" simplePos="0" relativeHeight="252197376" behindDoc="1" locked="0" layoutInCell="1" allowOverlap="1" wp14:anchorId="68136C32" wp14:editId="26A488B0">
            <wp:simplePos x="0" y="0"/>
            <wp:positionH relativeFrom="column">
              <wp:posOffset>108116</wp:posOffset>
            </wp:positionH>
            <wp:positionV relativeFrom="paragraph">
              <wp:posOffset>84620</wp:posOffset>
            </wp:positionV>
            <wp:extent cx="5943600" cy="8005445"/>
            <wp:effectExtent l="0" t="0" r="0" b="0"/>
            <wp:wrapNone/>
            <wp:docPr id="129412620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8005445"/>
                    </a:xfrm>
                    <a:prstGeom prst="rect">
                      <a:avLst/>
                    </a:prstGeom>
                    <a:noFill/>
                    <a:ln>
                      <a:noFill/>
                    </a:ln>
                  </pic:spPr>
                </pic:pic>
              </a:graphicData>
            </a:graphic>
          </wp:anchor>
        </w:drawing>
      </w:r>
    </w:p>
    <w:p w14:paraId="366C02BC" w14:textId="791863C7" w:rsidR="009B2694" w:rsidRPr="00182D44" w:rsidRDefault="009B2694" w:rsidP="0019237F">
      <w:pPr>
        <w:spacing w:line="276" w:lineRule="auto"/>
        <w:jc w:val="both"/>
        <w:rPr>
          <w:rFonts w:ascii="Cambria" w:hAnsi="Cambria"/>
          <w:sz w:val="24"/>
          <w:szCs w:val="24"/>
        </w:rPr>
      </w:pPr>
    </w:p>
    <w:p w14:paraId="19FC19D2" w14:textId="2F567C8C" w:rsidR="006601F2" w:rsidRPr="00207824" w:rsidRDefault="006A1A6A">
      <w:pPr>
        <w:rPr>
          <w:rFonts w:ascii="Cambria" w:eastAsia="Times New Roman" w:hAnsi="Cambria" w:cs="Times New Roman"/>
          <w:b/>
          <w:bCs/>
          <w:strike/>
          <w:sz w:val="28"/>
          <w:szCs w:val="28"/>
        </w:rPr>
      </w:pPr>
      <w:r w:rsidRPr="003E3525">
        <w:rPr>
          <w:rFonts w:ascii="Cambria" w:hAnsi="Cambria"/>
          <w:b/>
          <w:bCs/>
          <w:noProof/>
          <w:color w:val="FFFFFF" w:themeColor="background1"/>
          <w:sz w:val="24"/>
          <w:szCs w:val="24"/>
        </w:rPr>
        <mc:AlternateContent>
          <mc:Choice Requires="wps">
            <w:drawing>
              <wp:anchor distT="0" distB="0" distL="114300" distR="114300" simplePos="0" relativeHeight="252123648" behindDoc="1" locked="0" layoutInCell="1" allowOverlap="1" wp14:anchorId="52D17A2C" wp14:editId="7B787714">
                <wp:simplePos x="0" y="0"/>
                <wp:positionH relativeFrom="page">
                  <wp:posOffset>704850</wp:posOffset>
                </wp:positionH>
                <wp:positionV relativeFrom="page">
                  <wp:posOffset>1171575</wp:posOffset>
                </wp:positionV>
                <wp:extent cx="6459855" cy="8191500"/>
                <wp:effectExtent l="38100" t="38100" r="112395" b="114300"/>
                <wp:wrapNone/>
                <wp:docPr id="286493347" name="Rectangle 39"/>
                <wp:cNvGraphicFramePr/>
                <a:graphic xmlns:a="http://schemas.openxmlformats.org/drawingml/2006/main">
                  <a:graphicData uri="http://schemas.microsoft.com/office/word/2010/wordprocessingShape">
                    <wps:wsp>
                      <wps:cNvSpPr/>
                      <wps:spPr>
                        <a:xfrm>
                          <a:off x="0" y="0"/>
                          <a:ext cx="6459855" cy="8191500"/>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277EF" id="Rectangle 39" o:spid="_x0000_s1026" style="position:absolute;margin-left:55.5pt;margin-top:92.25pt;width:508.65pt;height:645pt;z-index:-2511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" filled="f" strokecolor="#002060" strokeweight="1.5pt">
                <v:shadow on="t" color="black" opacity="26214f" origin="-.5,-.5" offset=".74836mm,.74836mm"/>
                <w10:wrap anchorx="page" anchory="page"/>
              </v:rect>
            </w:pict>
          </mc:Fallback>
        </mc:AlternateContent>
      </w:r>
      <w:r w:rsidR="006601F2">
        <w:rPr>
          <w:strike/>
          <w:color w:val="C00000"/>
        </w:rPr>
        <w:br w:type="page"/>
      </w:r>
    </w:p>
    <w:p w14:paraId="27E1DA8D" w14:textId="4E9797AA" w:rsidR="00AE225E" w:rsidRDefault="00D32A5F" w:rsidP="00EE3EAB">
      <w:r w:rsidRPr="003E3525">
        <w:rPr>
          <w:rFonts w:ascii="Cambria" w:hAnsi="Cambria"/>
          <w:b/>
          <w:bCs/>
          <w:noProof/>
          <w:color w:val="FFFFFF" w:themeColor="background1"/>
          <w:sz w:val="24"/>
          <w:szCs w:val="24"/>
        </w:rPr>
        <w:lastRenderedPageBreak/>
        <mc:AlternateContent>
          <mc:Choice Requires="wps">
            <w:drawing>
              <wp:anchor distT="0" distB="0" distL="114300" distR="114300" simplePos="0" relativeHeight="252128768" behindDoc="1" locked="0" layoutInCell="1" allowOverlap="1" wp14:anchorId="749B60A9" wp14:editId="6806DAA9">
                <wp:simplePos x="0" y="0"/>
                <wp:positionH relativeFrom="page">
                  <wp:posOffset>666253</wp:posOffset>
                </wp:positionH>
                <wp:positionV relativeFrom="page">
                  <wp:posOffset>1254650</wp:posOffset>
                </wp:positionV>
                <wp:extent cx="6459855" cy="7690567"/>
                <wp:effectExtent l="38100" t="38100" r="112395" b="120015"/>
                <wp:wrapNone/>
                <wp:docPr id="1985362492" name="Rectangle 39"/>
                <wp:cNvGraphicFramePr/>
                <a:graphic xmlns:a="http://schemas.openxmlformats.org/drawingml/2006/main">
                  <a:graphicData uri="http://schemas.microsoft.com/office/word/2010/wordprocessingShape">
                    <wps:wsp>
                      <wps:cNvSpPr/>
                      <wps:spPr>
                        <a:xfrm>
                          <a:off x="0" y="0"/>
                          <a:ext cx="6459855" cy="7690567"/>
                        </a:xfrm>
                        <a:prstGeom prst="rect">
                          <a:avLst/>
                        </a:prstGeom>
                        <a:noFill/>
                        <a:ln w="19050">
                          <a:solidFill>
                            <a:srgbClr val="002060"/>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4BA49" id="Rectangle 39" o:spid="_x0000_s1026" style="position:absolute;margin-left:52.45pt;margin-top:98.8pt;width:508.65pt;height:605.55pt;z-index:-2511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" filled="f" strokecolor="#002060" strokeweight="1.5pt">
                <v:shadow on="t" color="black" opacity="26214f" origin="-.5,-.5" offset=".74836mm,.74836mm"/>
                <w10:wrap anchorx="page" anchory="page"/>
              </v:rect>
            </w:pict>
          </mc:Fallback>
        </mc:AlternateContent>
      </w:r>
      <w:r w:rsidRPr="00A1325B">
        <w:rPr>
          <w:noProof/>
        </w:rPr>
        <w:drawing>
          <wp:anchor distT="0" distB="0" distL="114300" distR="114300" simplePos="0" relativeHeight="252198400" behindDoc="1" locked="0" layoutInCell="1" allowOverlap="1" wp14:anchorId="25C6B91E" wp14:editId="125D6869">
            <wp:simplePos x="0" y="0"/>
            <wp:positionH relativeFrom="column">
              <wp:posOffset>0</wp:posOffset>
            </wp:positionH>
            <wp:positionV relativeFrom="paragraph">
              <wp:posOffset>203697</wp:posOffset>
            </wp:positionV>
            <wp:extent cx="5943600" cy="7364095"/>
            <wp:effectExtent l="0" t="0" r="0" b="8255"/>
            <wp:wrapNone/>
            <wp:docPr id="42450286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7364095"/>
                    </a:xfrm>
                    <a:prstGeom prst="rect">
                      <a:avLst/>
                    </a:prstGeom>
                    <a:noFill/>
                    <a:ln>
                      <a:noFill/>
                    </a:ln>
                  </pic:spPr>
                </pic:pic>
              </a:graphicData>
            </a:graphic>
          </wp:anchor>
        </w:drawing>
      </w:r>
    </w:p>
    <w:p w14:paraId="1711E0E4" w14:textId="0AD750F0" w:rsidR="00C430F7" w:rsidRDefault="00A1325B" w:rsidP="00EE3EAB">
      <w:r>
        <w:br w:type="page"/>
      </w:r>
    </w:p>
    <w:p w14:paraId="631EF620" w14:textId="54A4DDDF" w:rsidR="00D5002F" w:rsidRPr="00EE3EAB" w:rsidRDefault="00D5002F" w:rsidP="00EE3EAB">
      <w:pPr>
        <w:sectPr w:rsidR="00D5002F" w:rsidRPr="00EE3EAB" w:rsidSect="00A47B91">
          <w:headerReference w:type="default" r:id="rId85"/>
          <w:pgSz w:w="12240" w:h="15840"/>
          <w:pgMar w:top="1871" w:right="1440" w:bottom="1080" w:left="1440" w:header="450" w:footer="720" w:gutter="0"/>
          <w:cols w:space="720"/>
          <w:docGrid w:linePitch="360"/>
        </w:sectPr>
      </w:pPr>
    </w:p>
    <w:bookmarkStart w:id="82" w:name="_Toc179295666"/>
    <w:bookmarkStart w:id="83" w:name="_Toc213421237"/>
    <w:p w14:paraId="30942377" w14:textId="6C8D85BE" w:rsidR="007D5D3C" w:rsidRPr="00D31B72" w:rsidRDefault="007D5D3C" w:rsidP="00EE3EAB">
      <w:pPr>
        <w:pStyle w:val="Heading2"/>
        <w:rPr>
          <w:color w:val="FFFFFF" w:themeColor="background1"/>
        </w:rPr>
      </w:pPr>
      <w:r w:rsidRPr="005B05C7">
        <w:rPr>
          <w:smallCaps/>
          <w:noProof/>
          <w:color w:val="FFFFFF" w:themeColor="background1"/>
          <w:spacing w:val="10"/>
          <w:sz w:val="30"/>
          <w:szCs w:val="30"/>
        </w:rPr>
        <w:lastRenderedPageBreak/>
        <mc:AlternateContent>
          <mc:Choice Requires="wps">
            <w:drawing>
              <wp:anchor distT="0" distB="0" distL="114300" distR="114300" simplePos="0" relativeHeight="251860480" behindDoc="1" locked="0" layoutInCell="1" allowOverlap="1" wp14:anchorId="6161C32A" wp14:editId="708B6B3A">
                <wp:simplePos x="0" y="0"/>
                <wp:positionH relativeFrom="page">
                  <wp:posOffset>-190500</wp:posOffset>
                </wp:positionH>
                <wp:positionV relativeFrom="paragraph">
                  <wp:posOffset>-92711</wp:posOffset>
                </wp:positionV>
                <wp:extent cx="8010746" cy="8162925"/>
                <wp:effectExtent l="38100" t="38100" r="123825" b="123825"/>
                <wp:wrapNone/>
                <wp:docPr id="2128953057" name="Rectangle 18"/>
                <wp:cNvGraphicFramePr/>
                <a:graphic xmlns:a="http://schemas.openxmlformats.org/drawingml/2006/main">
                  <a:graphicData uri="http://schemas.microsoft.com/office/word/2010/wordprocessingShape">
                    <wps:wsp>
                      <wps:cNvSpPr/>
                      <wps:spPr>
                        <a:xfrm>
                          <a:off x="0" y="0"/>
                          <a:ext cx="8010746" cy="8162925"/>
                        </a:xfrm>
                        <a:prstGeom prst="rect">
                          <a:avLst/>
                        </a:prstGeom>
                        <a:solidFill>
                          <a:srgbClr val="424E62"/>
                        </a:solidFill>
                        <a:ln>
                          <a:solidFill>
                            <a:schemeClr val="bg1"/>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8E4B5" id="Rectangle 18" o:spid="_x0000_s1026" style="position:absolute;margin-left:-15pt;margin-top:-7.3pt;width:630.75pt;height:642.75pt;z-index:-25145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" fillcolor="#424e62" strokecolor="white [3212]" strokeweight="1pt">
                <v:shadow on="t" color="black" opacity="26214f" origin="-.5,-.5" offset=".74836mm,.74836mm"/>
                <w10:wrap anchorx="page"/>
              </v:rect>
            </w:pict>
          </mc:Fallback>
        </mc:AlternateContent>
      </w:r>
      <w:bookmarkStart w:id="84" w:name="_Toc85212084"/>
      <w:bookmarkStart w:id="85" w:name="_Toc86327257"/>
      <w:bookmarkEnd w:id="82"/>
      <w:r w:rsidR="008373FB">
        <w:rPr>
          <w:color w:val="FFFFFF" w:themeColor="background1"/>
        </w:rPr>
        <w:t>Significant Opportunities and Risks</w:t>
      </w:r>
      <w:bookmarkEnd w:id="83"/>
    </w:p>
    <w:p w14:paraId="2215FA90" w14:textId="0F3EEBEB" w:rsidR="00D25099" w:rsidRDefault="000375EA" w:rsidP="00EB2B4A">
      <w:pPr>
        <w:keepNext/>
        <w:keepLines/>
        <w:pBdr>
          <w:bottom w:val="single" w:sz="12" w:space="1" w:color="FFFFFF" w:themeColor="background1"/>
        </w:pBdr>
        <w:spacing w:before="160" w:after="80"/>
        <w:outlineLvl w:val="2"/>
        <w:rPr>
          <w:rFonts w:ascii="Cambria" w:eastAsiaTheme="majorEastAsia" w:hAnsi="Cambria" w:cstheme="majorBidi"/>
          <w:b/>
          <w:bCs/>
          <w:smallCaps/>
          <w:color w:val="FFFFFF" w:themeColor="background1"/>
          <w:sz w:val="28"/>
          <w:szCs w:val="28"/>
        </w:rPr>
      </w:pPr>
      <w:bookmarkStart w:id="86" w:name="_Toc212119664"/>
      <w:bookmarkStart w:id="87" w:name="_Toc213421238"/>
      <w:r>
        <w:rPr>
          <w:rFonts w:ascii="Cambria" w:hAnsi="Cambria"/>
          <w:b/>
          <w:bCs/>
          <w:noProof/>
          <w:color w:val="FFFFFF" w:themeColor="background1"/>
          <w:sz w:val="24"/>
          <w:szCs w:val="24"/>
        </w:rPr>
        <w:drawing>
          <wp:anchor distT="0" distB="0" distL="114300" distR="114300" simplePos="0" relativeHeight="252224000" behindDoc="0" locked="0" layoutInCell="1" allowOverlap="1" wp14:anchorId="6214BDD9" wp14:editId="7A33A509">
            <wp:simplePos x="0" y="0"/>
            <wp:positionH relativeFrom="column">
              <wp:posOffset>-32385</wp:posOffset>
            </wp:positionH>
            <wp:positionV relativeFrom="page">
              <wp:posOffset>1939290</wp:posOffset>
            </wp:positionV>
            <wp:extent cx="6018530" cy="4013200"/>
            <wp:effectExtent l="57150" t="57150" r="96520" b="101600"/>
            <wp:wrapSquare wrapText="bothSides"/>
            <wp:docPr id="129602439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24395" name="Picture 6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18530" cy="4013200"/>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15911">
        <w:rPr>
          <w:rFonts w:ascii="Calibri" w:hAnsi="Calibri"/>
          <w:noProof/>
        </w:rPr>
        <mc:AlternateContent>
          <mc:Choice Requires="wps">
            <w:drawing>
              <wp:anchor distT="0" distB="0" distL="114300" distR="114300" simplePos="0" relativeHeight="252226048" behindDoc="0" locked="0" layoutInCell="1" allowOverlap="1" wp14:anchorId="76C4D736" wp14:editId="7BED4DBD">
                <wp:simplePos x="0" y="0"/>
                <wp:positionH relativeFrom="column">
                  <wp:posOffset>124790</wp:posOffset>
                </wp:positionH>
                <wp:positionV relativeFrom="page">
                  <wp:posOffset>5984875</wp:posOffset>
                </wp:positionV>
                <wp:extent cx="5943600" cy="209550"/>
                <wp:effectExtent l="0" t="0" r="0" b="0"/>
                <wp:wrapSquare wrapText="bothSides"/>
                <wp:docPr id="119148948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01B87E1" w14:textId="0E6C81A0" w:rsidR="00215911" w:rsidRPr="00620744" w:rsidRDefault="00215911" w:rsidP="00215911">
                            <w:pPr>
                              <w:ind w:left="-90"/>
                              <w:jc w:val="right"/>
                              <w:rPr>
                                <w:rFonts w:ascii="Cambria" w:hAnsi="Cambria"/>
                                <w:i/>
                                <w:iCs/>
                                <w:color w:val="FFFFFF" w:themeColor="background1"/>
                                <w:sz w:val="16"/>
                                <w:szCs w:val="16"/>
                              </w:rPr>
                            </w:pPr>
                            <w:r w:rsidRPr="00551CC7">
                              <w:rPr>
                                <w:rFonts w:ascii="Cambria" w:hAnsi="Cambria"/>
                                <w:i/>
                                <w:iCs/>
                                <w:color w:val="FFFFFF" w:themeColor="background1"/>
                                <w:sz w:val="16"/>
                                <w:szCs w:val="16"/>
                              </w:rPr>
                              <w:t xml:space="preserve">Photo credit: </w:t>
                            </w:r>
                            <w:r w:rsidR="005409A1">
                              <w:rPr>
                                <w:rFonts w:ascii="Cambria" w:hAnsi="Cambria"/>
                                <w:i/>
                                <w:iCs/>
                                <w:color w:val="FFFFFF" w:themeColor="background1"/>
                                <w:sz w:val="16"/>
                                <w:szCs w:val="16"/>
                              </w:rPr>
                              <w:t>f11photo via Adobe Stock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4D736" id="Text Box 33" o:spid="_x0000_s1037" type="#_x0000_t202" style="position:absolute;margin-left:9.85pt;margin-top:471.25pt;width:468pt;height:16.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" filled="f" stroked="f" strokeweight="1pt">
                <v:textbox>
                  <w:txbxContent>
                    <w:p w14:paraId="301B87E1" w14:textId="0E6C81A0" w:rsidR="00215911" w:rsidRPr="00620744" w:rsidRDefault="00215911" w:rsidP="00215911">
                      <w:pPr>
                        <w:ind w:left="-90"/>
                        <w:jc w:val="right"/>
                        <w:rPr>
                          <w:rFonts w:ascii="Cambria" w:hAnsi="Cambria"/>
                          <w:i/>
                          <w:iCs/>
                          <w:color w:val="FFFFFF" w:themeColor="background1"/>
                          <w:sz w:val="16"/>
                          <w:szCs w:val="16"/>
                        </w:rPr>
                      </w:pPr>
                      <w:r w:rsidRPr="00551CC7">
                        <w:rPr>
                          <w:rFonts w:ascii="Cambria" w:hAnsi="Cambria"/>
                          <w:i/>
                          <w:iCs/>
                          <w:color w:val="FFFFFF" w:themeColor="background1"/>
                          <w:sz w:val="16"/>
                          <w:szCs w:val="16"/>
                        </w:rPr>
                        <w:t xml:space="preserve">Photo credit: </w:t>
                      </w:r>
                      <w:r w:rsidR="005409A1">
                        <w:rPr>
                          <w:rFonts w:ascii="Cambria" w:hAnsi="Cambria"/>
                          <w:i/>
                          <w:iCs/>
                          <w:color w:val="FFFFFF" w:themeColor="background1"/>
                          <w:sz w:val="16"/>
                          <w:szCs w:val="16"/>
                        </w:rPr>
                        <w:t>f11photo via Adobe Stock</w:t>
                      </w:r>
                    </w:p>
                  </w:txbxContent>
                </v:textbox>
                <w10:wrap type="square" anchory="page"/>
              </v:shape>
            </w:pict>
          </mc:Fallback>
        </mc:AlternateContent>
      </w:r>
      <w:r w:rsidR="00D25099" w:rsidRPr="00EE3EAB">
        <w:rPr>
          <w:rFonts w:ascii="Cambria" w:eastAsiaTheme="majorEastAsia" w:hAnsi="Cambria" w:cstheme="majorBidi"/>
          <w:b/>
          <w:bCs/>
          <w:smallCaps/>
          <w:color w:val="FFFFFF" w:themeColor="background1"/>
          <w:sz w:val="28"/>
          <w:szCs w:val="28"/>
        </w:rPr>
        <w:t>Opportunities</w:t>
      </w:r>
      <w:bookmarkEnd w:id="86"/>
      <w:bookmarkEnd w:id="87"/>
    </w:p>
    <w:p w14:paraId="4C365C92" w14:textId="143E2B8B" w:rsidR="00EB2B4A" w:rsidRDefault="00EB2B4A" w:rsidP="00551CC7">
      <w:pPr>
        <w:jc w:val="both"/>
        <w:rPr>
          <w:rFonts w:ascii="Cambria" w:hAnsi="Cambria"/>
          <w:color w:val="FFFFFF" w:themeColor="background1"/>
          <w:sz w:val="24"/>
          <w:szCs w:val="24"/>
        </w:rPr>
      </w:pPr>
      <w:r w:rsidRPr="00EE3EAB">
        <w:rPr>
          <w:rFonts w:ascii="Cambria" w:hAnsi="Cambria"/>
          <w:color w:val="FFFFFF" w:themeColor="background1"/>
          <w:sz w:val="24"/>
          <w:szCs w:val="24"/>
        </w:rPr>
        <w:t xml:space="preserve">PCLOB continues </w:t>
      </w:r>
      <w:r w:rsidR="00221093">
        <w:rPr>
          <w:rFonts w:ascii="Cambria" w:hAnsi="Cambria"/>
          <w:color w:val="FFFFFF" w:themeColor="background1"/>
          <w:sz w:val="24"/>
          <w:szCs w:val="24"/>
        </w:rPr>
        <w:t>its</w:t>
      </w:r>
      <w:r w:rsidRPr="00EE3EAB">
        <w:rPr>
          <w:rFonts w:ascii="Cambria" w:hAnsi="Cambria"/>
          <w:color w:val="FFFFFF" w:themeColor="background1"/>
          <w:sz w:val="24"/>
          <w:szCs w:val="24"/>
        </w:rPr>
        <w:t xml:space="preserve"> work to achieve the goals, objectives, and strategies outlined in the agency’s FY 2022</w:t>
      </w:r>
      <w:r w:rsidR="009C47C2">
        <w:rPr>
          <w:rFonts w:ascii="Cambria" w:hAnsi="Cambria"/>
          <w:color w:val="FFFFFF" w:themeColor="background1"/>
          <w:sz w:val="24"/>
          <w:szCs w:val="24"/>
        </w:rPr>
        <w:t>–</w:t>
      </w:r>
      <w:r w:rsidRPr="00EE3EAB">
        <w:rPr>
          <w:rFonts w:ascii="Cambria" w:hAnsi="Cambria"/>
          <w:color w:val="FFFFFF" w:themeColor="background1"/>
          <w:sz w:val="24"/>
          <w:szCs w:val="24"/>
        </w:rPr>
        <w:t>2026 Strategic Plan</w:t>
      </w:r>
      <w:r w:rsidR="0048178B">
        <w:rPr>
          <w:rStyle w:val="FootnoteReference"/>
          <w:rFonts w:ascii="Cambria" w:hAnsi="Cambria"/>
          <w:color w:val="FFFFFF" w:themeColor="background1"/>
          <w:sz w:val="24"/>
          <w:szCs w:val="24"/>
        </w:rPr>
        <w:footnoteReference w:id="1"/>
      </w:r>
      <w:r w:rsidRPr="00EE3EAB">
        <w:rPr>
          <w:rFonts w:ascii="Cambria" w:hAnsi="Cambria"/>
          <w:color w:val="FFFFFF" w:themeColor="background1"/>
          <w:sz w:val="24"/>
          <w:szCs w:val="24"/>
        </w:rPr>
        <w:t>. In FY 202</w:t>
      </w:r>
      <w:r w:rsidR="00D5002F">
        <w:rPr>
          <w:rFonts w:ascii="Cambria" w:hAnsi="Cambria"/>
          <w:color w:val="FFFFFF" w:themeColor="background1"/>
          <w:sz w:val="24"/>
          <w:szCs w:val="24"/>
        </w:rPr>
        <w:t>6</w:t>
      </w:r>
      <w:r w:rsidRPr="00EE3EAB">
        <w:rPr>
          <w:rFonts w:ascii="Cambria" w:hAnsi="Cambria"/>
          <w:color w:val="FFFFFF" w:themeColor="background1"/>
          <w:sz w:val="24"/>
          <w:szCs w:val="24"/>
        </w:rPr>
        <w:t>, PCLOB plans to initiate the following activities:</w:t>
      </w:r>
    </w:p>
    <w:p w14:paraId="0E5EB09F" w14:textId="4EED9C28" w:rsidR="006B3E32" w:rsidRPr="006B3E32" w:rsidRDefault="00EB2B4A" w:rsidP="00551CC7">
      <w:pPr>
        <w:numPr>
          <w:ilvl w:val="0"/>
          <w:numId w:val="20"/>
        </w:numPr>
        <w:spacing w:after="0" w:line="276" w:lineRule="auto"/>
        <w:jc w:val="both"/>
        <w:rPr>
          <w:rFonts w:ascii="Cambria" w:hAnsi="Cambria"/>
          <w:color w:val="FFFFFF" w:themeColor="background1"/>
          <w:sz w:val="24"/>
          <w:szCs w:val="24"/>
        </w:rPr>
      </w:pPr>
      <w:r w:rsidRPr="006B3E32">
        <w:rPr>
          <w:rFonts w:ascii="Cambria" w:hAnsi="Cambria"/>
          <w:b/>
          <w:bCs/>
          <w:color w:val="FFFFFF" w:themeColor="background1"/>
          <w:sz w:val="24"/>
          <w:szCs w:val="24"/>
        </w:rPr>
        <w:t>Review of Oversight and Advice Projects</w:t>
      </w:r>
      <w:r w:rsidRPr="006B3E32">
        <w:rPr>
          <w:rFonts w:ascii="Cambria" w:hAnsi="Cambria"/>
          <w:color w:val="FFFFFF" w:themeColor="background1"/>
          <w:sz w:val="24"/>
          <w:szCs w:val="24"/>
        </w:rPr>
        <w:t xml:space="preserve">. PCLOB has been actively working on mission projects that have been on the agency’s docket for many years, with a focus toward expedient completion. As a result of these efforts, </w:t>
      </w:r>
      <w:r w:rsidR="001B3370" w:rsidRPr="006B3E32">
        <w:rPr>
          <w:rFonts w:ascii="Cambria" w:hAnsi="Cambria"/>
          <w:color w:val="FFFFFF" w:themeColor="background1"/>
          <w:sz w:val="24"/>
          <w:szCs w:val="24"/>
        </w:rPr>
        <w:t xml:space="preserve">several </w:t>
      </w:r>
      <w:r w:rsidRPr="006B3E32">
        <w:rPr>
          <w:rFonts w:ascii="Cambria" w:hAnsi="Cambria"/>
          <w:color w:val="FFFFFF" w:themeColor="background1"/>
          <w:sz w:val="24"/>
          <w:szCs w:val="24"/>
        </w:rPr>
        <w:t>projects are expected to be completed in FY 202</w:t>
      </w:r>
      <w:r w:rsidR="00C430F7" w:rsidRPr="006B3E32">
        <w:rPr>
          <w:rFonts w:ascii="Cambria" w:hAnsi="Cambria"/>
          <w:color w:val="FFFFFF" w:themeColor="background1"/>
          <w:sz w:val="24"/>
          <w:szCs w:val="24"/>
        </w:rPr>
        <w:t>6</w:t>
      </w:r>
      <w:r w:rsidR="00813E56" w:rsidRPr="006B3E32">
        <w:rPr>
          <w:rFonts w:ascii="Cambria" w:hAnsi="Cambria"/>
          <w:color w:val="FFFFFF" w:themeColor="background1"/>
          <w:sz w:val="24"/>
          <w:szCs w:val="24"/>
        </w:rPr>
        <w:t xml:space="preserve">. </w:t>
      </w:r>
      <w:r w:rsidRPr="006B3E32">
        <w:rPr>
          <w:rFonts w:ascii="Cambria" w:hAnsi="Cambria"/>
          <w:color w:val="FFFFFF" w:themeColor="background1"/>
          <w:sz w:val="24"/>
          <w:szCs w:val="24"/>
        </w:rPr>
        <w:t xml:space="preserve">The agency’s Executive Director is also working with staff to develop proposals for areas of </w:t>
      </w:r>
      <w:r w:rsidR="00221093">
        <w:rPr>
          <w:rFonts w:ascii="Cambria" w:hAnsi="Cambria"/>
          <w:color w:val="FFFFFF" w:themeColor="background1"/>
          <w:sz w:val="24"/>
          <w:szCs w:val="24"/>
        </w:rPr>
        <w:t>additional</w:t>
      </w:r>
      <w:r w:rsidR="00221093" w:rsidRPr="006B3E32">
        <w:rPr>
          <w:rFonts w:ascii="Cambria" w:hAnsi="Cambria"/>
          <w:color w:val="FFFFFF" w:themeColor="background1"/>
          <w:sz w:val="24"/>
          <w:szCs w:val="24"/>
        </w:rPr>
        <w:t xml:space="preserve"> </w:t>
      </w:r>
      <w:r w:rsidRPr="006B3E32">
        <w:rPr>
          <w:rFonts w:ascii="Cambria" w:hAnsi="Cambria"/>
          <w:color w:val="FFFFFF" w:themeColor="background1"/>
          <w:sz w:val="24"/>
          <w:szCs w:val="24"/>
        </w:rPr>
        <w:t xml:space="preserve">federal oversight to enable </w:t>
      </w:r>
      <w:r w:rsidR="001B3370" w:rsidRPr="006B3E32">
        <w:rPr>
          <w:rFonts w:ascii="Cambria" w:hAnsi="Cambria"/>
          <w:color w:val="FFFFFF" w:themeColor="background1"/>
          <w:sz w:val="24"/>
          <w:szCs w:val="24"/>
        </w:rPr>
        <w:t xml:space="preserve">the </w:t>
      </w:r>
      <w:r w:rsidRPr="006B3E32">
        <w:rPr>
          <w:rFonts w:ascii="Cambria" w:hAnsi="Cambria"/>
          <w:color w:val="FFFFFF" w:themeColor="background1"/>
          <w:sz w:val="24"/>
          <w:szCs w:val="24"/>
        </w:rPr>
        <w:t xml:space="preserve">Board </w:t>
      </w:r>
      <w:r w:rsidR="001B3370" w:rsidRPr="006B3E32">
        <w:rPr>
          <w:rFonts w:ascii="Cambria" w:hAnsi="Cambria"/>
          <w:color w:val="FFFFFF" w:themeColor="background1"/>
          <w:sz w:val="24"/>
          <w:szCs w:val="24"/>
        </w:rPr>
        <w:t xml:space="preserve">(when restored to a quorum) </w:t>
      </w:r>
      <w:r w:rsidRPr="006B3E32">
        <w:rPr>
          <w:rFonts w:ascii="Cambria" w:hAnsi="Cambria"/>
          <w:color w:val="FFFFFF" w:themeColor="background1"/>
          <w:sz w:val="24"/>
          <w:szCs w:val="24"/>
        </w:rPr>
        <w:t>to assess what new oversight and advice projects to initiate</w:t>
      </w:r>
      <w:r w:rsidR="001B3370" w:rsidRPr="006B3E32">
        <w:rPr>
          <w:rFonts w:ascii="Cambria" w:hAnsi="Cambria"/>
          <w:color w:val="FFFFFF" w:themeColor="background1"/>
          <w:sz w:val="24"/>
          <w:szCs w:val="24"/>
        </w:rPr>
        <w:t>.</w:t>
      </w:r>
      <w:r w:rsidR="006B3E32" w:rsidRPr="006B3E32">
        <w:rPr>
          <w:rFonts w:ascii="Cambria" w:hAnsi="Cambria"/>
          <w:color w:val="FFFFFF" w:themeColor="background1"/>
          <w:sz w:val="24"/>
          <w:szCs w:val="24"/>
        </w:rPr>
        <w:br w:type="page"/>
      </w:r>
    </w:p>
    <w:p w14:paraId="2C25292E" w14:textId="60056DAF" w:rsidR="00EB2B4A" w:rsidRPr="00EE3EAB" w:rsidRDefault="006B3E32" w:rsidP="00551CC7">
      <w:pPr>
        <w:spacing w:after="0" w:line="276" w:lineRule="auto"/>
        <w:ind w:left="360"/>
        <w:jc w:val="both"/>
        <w:rPr>
          <w:rFonts w:ascii="Cambria" w:hAnsi="Cambria"/>
          <w:color w:val="FFFFFF" w:themeColor="background1"/>
          <w:sz w:val="24"/>
          <w:szCs w:val="24"/>
        </w:rPr>
      </w:pPr>
      <w:r w:rsidRPr="00EB2B4A">
        <w:rPr>
          <w:rFonts w:ascii="Cambria" w:hAnsi="Cambria"/>
          <w:b/>
          <w:bCs/>
          <w:smallCaps/>
          <w:noProof/>
          <w:color w:val="FFFFFF" w:themeColor="background1"/>
          <w:spacing w:val="10"/>
          <w:sz w:val="30"/>
          <w:szCs w:val="30"/>
        </w:rPr>
        <w:lastRenderedPageBreak/>
        <mc:AlternateContent>
          <mc:Choice Requires="wps">
            <w:drawing>
              <wp:anchor distT="0" distB="0" distL="114300" distR="114300" simplePos="0" relativeHeight="252091904" behindDoc="1" locked="0" layoutInCell="1" allowOverlap="1" wp14:anchorId="4B5D6942" wp14:editId="2F9D7D18">
                <wp:simplePos x="0" y="0"/>
                <wp:positionH relativeFrom="page">
                  <wp:posOffset>-209550</wp:posOffset>
                </wp:positionH>
                <wp:positionV relativeFrom="paragraph">
                  <wp:posOffset>-92710</wp:posOffset>
                </wp:positionV>
                <wp:extent cx="7989570" cy="8240482"/>
                <wp:effectExtent l="38100" t="38100" r="106680" b="122555"/>
                <wp:wrapNone/>
                <wp:docPr id="2117226953" name="Rectangle 18"/>
                <wp:cNvGraphicFramePr/>
                <a:graphic xmlns:a="http://schemas.openxmlformats.org/drawingml/2006/main">
                  <a:graphicData uri="http://schemas.microsoft.com/office/word/2010/wordprocessingShape">
                    <wps:wsp>
                      <wps:cNvSpPr/>
                      <wps:spPr>
                        <a:xfrm>
                          <a:off x="0" y="0"/>
                          <a:ext cx="7989570" cy="8240482"/>
                        </a:xfrm>
                        <a:prstGeom prst="rect">
                          <a:avLst/>
                        </a:prstGeom>
                        <a:solidFill>
                          <a:srgbClr val="424E62"/>
                        </a:solidFill>
                        <a:ln>
                          <a:solidFill>
                            <a:schemeClr val="bg1"/>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CA2E8" id="Rectangle 18" o:spid="_x0000_s1026" style="position:absolute;margin-left:-16.5pt;margin-top:-7.3pt;width:629.1pt;height:648.85pt;z-index:-2512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" fillcolor="#424e62" strokecolor="white [3212]" strokeweight="1pt">
                <v:shadow on="t" color="black" opacity="26214f" origin="-.5,-.5" offset=".74836mm,.74836mm"/>
                <w10:wrap anchorx="page"/>
              </v:rect>
            </w:pict>
          </mc:Fallback>
        </mc:AlternateContent>
      </w:r>
    </w:p>
    <w:p w14:paraId="4765906C" w14:textId="18BFE361" w:rsidR="00EB2B4A" w:rsidRPr="00EE3EAB" w:rsidRDefault="00EB2B4A" w:rsidP="00EB2B4A">
      <w:pPr>
        <w:numPr>
          <w:ilvl w:val="0"/>
          <w:numId w:val="20"/>
        </w:numPr>
        <w:spacing w:before="120" w:after="120" w:line="276" w:lineRule="auto"/>
        <w:jc w:val="both"/>
        <w:rPr>
          <w:rFonts w:ascii="Cambria" w:hAnsi="Cambria"/>
          <w:color w:val="FFFFFF" w:themeColor="background1"/>
          <w:sz w:val="24"/>
          <w:szCs w:val="24"/>
        </w:rPr>
      </w:pPr>
      <w:r w:rsidRPr="00EE3EAB">
        <w:rPr>
          <w:rFonts w:ascii="Cambria" w:hAnsi="Cambria"/>
          <w:b/>
          <w:bCs/>
          <w:color w:val="FFFFFF" w:themeColor="background1"/>
          <w:sz w:val="24"/>
          <w:szCs w:val="24"/>
        </w:rPr>
        <w:t xml:space="preserve">Continued Exercise of Roles Under EO 14086, </w:t>
      </w:r>
      <w:r w:rsidRPr="00EE3EAB">
        <w:rPr>
          <w:rFonts w:ascii="Cambria" w:hAnsi="Cambria"/>
          <w:b/>
          <w:bCs/>
          <w:i/>
          <w:iCs/>
          <w:color w:val="FFFFFF" w:themeColor="background1"/>
          <w:sz w:val="24"/>
          <w:szCs w:val="24"/>
        </w:rPr>
        <w:t>Enhancing Safeguards for United States Signals Intelligence Activities</w:t>
      </w:r>
      <w:r w:rsidRPr="00EE3EAB">
        <w:rPr>
          <w:rFonts w:ascii="Cambria" w:hAnsi="Cambria"/>
          <w:b/>
          <w:bCs/>
          <w:color w:val="FFFFFF" w:themeColor="background1"/>
          <w:sz w:val="24"/>
          <w:szCs w:val="24"/>
        </w:rPr>
        <w:t xml:space="preserve">. </w:t>
      </w:r>
      <w:r w:rsidR="00D81364" w:rsidRPr="00D81364">
        <w:rPr>
          <w:rFonts w:ascii="Cambria" w:hAnsi="Cambria"/>
          <w:color w:val="FFFFFF" w:themeColor="background1"/>
          <w:sz w:val="24"/>
          <w:szCs w:val="24"/>
        </w:rPr>
        <w:t>PCLOB will continue to conduct annual reviews (to the extent feasible)</w:t>
      </w:r>
      <w:r w:rsidR="00221093" w:rsidRPr="00221093">
        <w:rPr>
          <w:rFonts w:ascii="Cambria" w:hAnsi="Cambria"/>
          <w:color w:val="FFFFFF" w:themeColor="background1"/>
          <w:sz w:val="24"/>
          <w:szCs w:val="24"/>
        </w:rPr>
        <w:t xml:space="preserve"> of the redress process pursuant to </w:t>
      </w:r>
      <w:r w:rsidR="00D81364" w:rsidRPr="00D81364">
        <w:rPr>
          <w:rFonts w:ascii="Cambria" w:hAnsi="Cambria"/>
          <w:color w:val="FFFFFF" w:themeColor="background1"/>
          <w:sz w:val="24"/>
          <w:szCs w:val="24"/>
        </w:rPr>
        <w:t>EO 14086</w:t>
      </w:r>
      <w:r w:rsidR="00D81364">
        <w:rPr>
          <w:rFonts w:ascii="Cambria" w:hAnsi="Cambria"/>
          <w:color w:val="FFFFFF" w:themeColor="background1"/>
          <w:sz w:val="24"/>
          <w:szCs w:val="24"/>
        </w:rPr>
        <w:t xml:space="preserve">. </w:t>
      </w:r>
      <w:r w:rsidRPr="00EE3EAB">
        <w:rPr>
          <w:rFonts w:ascii="Cambria" w:hAnsi="Cambria"/>
          <w:color w:val="FFFFFF" w:themeColor="background1"/>
          <w:sz w:val="24"/>
          <w:szCs w:val="24"/>
        </w:rPr>
        <w:t xml:space="preserve">This annual review represents a new and innovative role for PCLOB, and the U.S. </w:t>
      </w:r>
      <w:r w:rsidR="000062AC">
        <w:rPr>
          <w:rFonts w:ascii="Cambria" w:hAnsi="Cambria"/>
          <w:color w:val="FFFFFF" w:themeColor="background1"/>
          <w:sz w:val="24"/>
          <w:szCs w:val="24"/>
        </w:rPr>
        <w:t>G</w:t>
      </w:r>
      <w:r w:rsidRPr="00EE3EAB">
        <w:rPr>
          <w:rFonts w:ascii="Cambria" w:hAnsi="Cambria"/>
          <w:color w:val="FFFFFF" w:themeColor="background1"/>
          <w:sz w:val="24"/>
          <w:szCs w:val="24"/>
        </w:rPr>
        <w:t xml:space="preserve">overnment has highlighted </w:t>
      </w:r>
      <w:r w:rsidR="00221093">
        <w:rPr>
          <w:rFonts w:ascii="Cambria" w:hAnsi="Cambria"/>
          <w:color w:val="FFFFFF" w:themeColor="background1"/>
          <w:sz w:val="24"/>
          <w:szCs w:val="24"/>
        </w:rPr>
        <w:t xml:space="preserve">the value of </w:t>
      </w:r>
      <w:r w:rsidRPr="00EE3EAB">
        <w:rPr>
          <w:rFonts w:ascii="Cambria" w:hAnsi="Cambria"/>
          <w:color w:val="FFFFFF" w:themeColor="background1"/>
          <w:sz w:val="24"/>
          <w:szCs w:val="24"/>
        </w:rPr>
        <w:t xml:space="preserve">PCLOB’s </w:t>
      </w:r>
      <w:r w:rsidR="00AB1E25">
        <w:rPr>
          <w:rFonts w:ascii="Cambria" w:hAnsi="Cambria"/>
          <w:color w:val="FFFFFF" w:themeColor="background1"/>
          <w:sz w:val="24"/>
          <w:szCs w:val="24"/>
        </w:rPr>
        <w:t>oversight</w:t>
      </w:r>
      <w:r w:rsidRPr="00EE3EAB">
        <w:rPr>
          <w:rFonts w:ascii="Cambria" w:hAnsi="Cambria"/>
          <w:color w:val="FFFFFF" w:themeColor="background1"/>
          <w:sz w:val="24"/>
          <w:szCs w:val="24"/>
        </w:rPr>
        <w:t>.</w:t>
      </w:r>
    </w:p>
    <w:p w14:paraId="1E625B06" w14:textId="27D564FC" w:rsidR="00EB2B4A" w:rsidRPr="0019237F" w:rsidRDefault="00EB2B4A" w:rsidP="00EB2B4A">
      <w:pPr>
        <w:numPr>
          <w:ilvl w:val="0"/>
          <w:numId w:val="20"/>
        </w:numPr>
        <w:spacing w:before="120" w:after="120" w:line="276" w:lineRule="auto"/>
        <w:jc w:val="both"/>
        <w:rPr>
          <w:rFonts w:ascii="Cambria" w:eastAsia="Times New Roman" w:hAnsi="Cambria"/>
          <w:sz w:val="24"/>
          <w:szCs w:val="24"/>
        </w:rPr>
      </w:pPr>
      <w:r w:rsidRPr="00EE3EAB">
        <w:rPr>
          <w:rFonts w:ascii="Cambria" w:hAnsi="Cambria"/>
          <w:b/>
          <w:bCs/>
          <w:color w:val="FFFFFF" w:themeColor="background1"/>
          <w:sz w:val="24"/>
          <w:szCs w:val="24"/>
        </w:rPr>
        <w:t>Countering Domestic Terrorism.</w:t>
      </w:r>
      <w:r w:rsidRPr="00EE3EAB">
        <w:rPr>
          <w:rFonts w:ascii="Cambria" w:hAnsi="Cambria"/>
          <w:color w:val="FFFFFF" w:themeColor="background1"/>
          <w:sz w:val="24"/>
          <w:szCs w:val="24"/>
        </w:rPr>
        <w:t xml:space="preserve"> PCLOB will continue its investigation into the government’s domestic counterterrorism efforts. This involves ongoing information gathering from DHS and FBI regarding their domestic terrorism authorities</w:t>
      </w:r>
      <w:r w:rsidR="00221093">
        <w:rPr>
          <w:rFonts w:ascii="Cambria" w:hAnsi="Cambria"/>
          <w:color w:val="FFFFFF" w:themeColor="background1"/>
          <w:sz w:val="24"/>
          <w:szCs w:val="24"/>
        </w:rPr>
        <w:t xml:space="preserve"> and</w:t>
      </w:r>
      <w:r w:rsidRPr="00EE3EAB">
        <w:rPr>
          <w:rFonts w:ascii="Cambria" w:hAnsi="Cambria"/>
          <w:color w:val="FFFFFF" w:themeColor="background1"/>
          <w:sz w:val="24"/>
          <w:szCs w:val="24"/>
        </w:rPr>
        <w:t xml:space="preserve"> operations. PCLOB </w:t>
      </w:r>
      <w:r w:rsidR="00221093">
        <w:rPr>
          <w:rFonts w:ascii="Cambria" w:hAnsi="Cambria"/>
          <w:color w:val="FFFFFF" w:themeColor="background1"/>
          <w:sz w:val="24"/>
          <w:szCs w:val="24"/>
        </w:rPr>
        <w:t xml:space="preserve">intends to </w:t>
      </w:r>
      <w:r w:rsidRPr="00EE3EAB">
        <w:rPr>
          <w:rFonts w:ascii="Cambria" w:hAnsi="Cambria"/>
          <w:color w:val="FFFFFF" w:themeColor="background1"/>
          <w:sz w:val="24"/>
          <w:szCs w:val="24"/>
        </w:rPr>
        <w:t>assess whether additional privacy and civil liberties safeguards are necessary in these areas.</w:t>
      </w:r>
    </w:p>
    <w:p w14:paraId="0E67CEED" w14:textId="361EEFBC" w:rsidR="00C35661" w:rsidRPr="00C35661" w:rsidRDefault="00655A8B" w:rsidP="00C35661">
      <w:pPr>
        <w:numPr>
          <w:ilvl w:val="0"/>
          <w:numId w:val="20"/>
        </w:numPr>
        <w:spacing w:before="120" w:after="120" w:line="276" w:lineRule="auto"/>
        <w:jc w:val="both"/>
        <w:rPr>
          <w:rFonts w:ascii="Cambria" w:hAnsi="Cambria"/>
          <w:color w:val="FFFFFF" w:themeColor="background1"/>
          <w:sz w:val="24"/>
          <w:szCs w:val="24"/>
        </w:rPr>
      </w:pPr>
      <w:r>
        <w:rPr>
          <w:rFonts w:ascii="Cambria" w:hAnsi="Cambria"/>
          <w:b/>
          <w:bCs/>
          <w:color w:val="FFFFFF" w:themeColor="background1"/>
          <w:sz w:val="24"/>
          <w:szCs w:val="24"/>
        </w:rPr>
        <w:t>Section 702.</w:t>
      </w:r>
      <w:r>
        <w:rPr>
          <w:rFonts w:ascii="Cambria" w:hAnsi="Cambria"/>
          <w:color w:val="FFFFFF" w:themeColor="background1"/>
          <w:sz w:val="24"/>
          <w:szCs w:val="24"/>
        </w:rPr>
        <w:t xml:space="preserve"> </w:t>
      </w:r>
      <w:r w:rsidR="007D228B">
        <w:rPr>
          <w:rFonts w:ascii="Cambria" w:hAnsi="Cambria"/>
          <w:color w:val="FFFFFF" w:themeColor="background1"/>
          <w:sz w:val="24"/>
          <w:szCs w:val="24"/>
        </w:rPr>
        <w:t xml:space="preserve">With Section 702 up for reauthorization in </w:t>
      </w:r>
      <w:r w:rsidR="00FC0B66">
        <w:rPr>
          <w:rFonts w:ascii="Cambria" w:hAnsi="Cambria"/>
          <w:color w:val="FFFFFF" w:themeColor="background1"/>
          <w:sz w:val="24"/>
          <w:szCs w:val="24"/>
        </w:rPr>
        <w:t>April</w:t>
      </w:r>
      <w:r w:rsidR="007D228B">
        <w:rPr>
          <w:rFonts w:ascii="Cambria" w:hAnsi="Cambria"/>
          <w:color w:val="FFFFFF" w:themeColor="background1"/>
          <w:sz w:val="24"/>
          <w:szCs w:val="24"/>
        </w:rPr>
        <w:t xml:space="preserve"> 2026, </w:t>
      </w:r>
      <w:r>
        <w:rPr>
          <w:rFonts w:ascii="Cambria" w:hAnsi="Cambria"/>
          <w:color w:val="FFFFFF" w:themeColor="background1"/>
          <w:sz w:val="24"/>
          <w:szCs w:val="24"/>
        </w:rPr>
        <w:t xml:space="preserve">PCLOB will continue </w:t>
      </w:r>
      <w:r w:rsidR="007D228B">
        <w:rPr>
          <w:rFonts w:ascii="Cambria" w:hAnsi="Cambria"/>
          <w:color w:val="FFFFFF" w:themeColor="background1"/>
          <w:sz w:val="24"/>
          <w:szCs w:val="24"/>
        </w:rPr>
        <w:t xml:space="preserve">its work </w:t>
      </w:r>
      <w:r>
        <w:rPr>
          <w:rFonts w:ascii="Cambria" w:hAnsi="Cambria"/>
          <w:color w:val="FFFFFF" w:themeColor="background1"/>
          <w:sz w:val="24"/>
          <w:szCs w:val="24"/>
        </w:rPr>
        <w:t xml:space="preserve">to </w:t>
      </w:r>
      <w:r w:rsidR="00582113">
        <w:rPr>
          <w:rFonts w:ascii="Cambria" w:hAnsi="Cambria"/>
          <w:color w:val="FFFFFF" w:themeColor="background1"/>
          <w:sz w:val="24"/>
          <w:szCs w:val="24"/>
        </w:rPr>
        <w:t>provide an update to</w:t>
      </w:r>
      <w:r>
        <w:rPr>
          <w:rFonts w:ascii="Cambria" w:hAnsi="Cambria"/>
          <w:color w:val="FFFFFF" w:themeColor="background1"/>
          <w:sz w:val="24"/>
          <w:szCs w:val="24"/>
        </w:rPr>
        <w:t xml:space="preserve"> </w:t>
      </w:r>
      <w:r w:rsidR="007D228B">
        <w:rPr>
          <w:rFonts w:ascii="Cambria" w:hAnsi="Cambria"/>
          <w:color w:val="FFFFFF" w:themeColor="background1"/>
          <w:sz w:val="24"/>
          <w:szCs w:val="24"/>
        </w:rPr>
        <w:t>PCLOB’s 2023 Section 702 Report</w:t>
      </w:r>
      <w:r w:rsidR="00C35661" w:rsidRPr="00C35661">
        <w:rPr>
          <w:rFonts w:ascii="Cambria" w:hAnsi="Cambria"/>
          <w:color w:val="FFFFFF" w:themeColor="background1"/>
          <w:sz w:val="24"/>
          <w:szCs w:val="24"/>
        </w:rPr>
        <w:t>, focusing on the major changes made in RISAA</w:t>
      </w:r>
      <w:r w:rsidR="00221093">
        <w:rPr>
          <w:rFonts w:ascii="Cambria" w:hAnsi="Cambria"/>
          <w:color w:val="FFFFFF" w:themeColor="background1"/>
          <w:sz w:val="24"/>
          <w:szCs w:val="24"/>
        </w:rPr>
        <w:t>,</w:t>
      </w:r>
      <w:r w:rsidR="00C35661" w:rsidRPr="00C35661">
        <w:rPr>
          <w:rFonts w:ascii="Cambria" w:hAnsi="Cambria"/>
          <w:color w:val="FFFFFF" w:themeColor="background1"/>
          <w:sz w:val="24"/>
          <w:szCs w:val="24"/>
        </w:rPr>
        <w:t xml:space="preserve"> how agencies have implemented those changes, and </w:t>
      </w:r>
      <w:r w:rsidR="00221093">
        <w:rPr>
          <w:rFonts w:ascii="Cambria" w:hAnsi="Cambria"/>
          <w:color w:val="FFFFFF" w:themeColor="background1"/>
          <w:sz w:val="24"/>
          <w:szCs w:val="24"/>
        </w:rPr>
        <w:t xml:space="preserve">the </w:t>
      </w:r>
      <w:r w:rsidR="00C35661" w:rsidRPr="00C35661">
        <w:rPr>
          <w:rFonts w:ascii="Cambria" w:hAnsi="Cambria"/>
          <w:color w:val="FFFFFF" w:themeColor="background1"/>
          <w:sz w:val="24"/>
          <w:szCs w:val="24"/>
        </w:rPr>
        <w:t>resulting impact on privacy and civil liberties and national security.</w:t>
      </w:r>
    </w:p>
    <w:p w14:paraId="3E4ABC36" w14:textId="5BDFD397" w:rsidR="00EB2B4A" w:rsidRPr="00EE3EAB" w:rsidRDefault="00EB2B4A" w:rsidP="00A953E5">
      <w:pPr>
        <w:numPr>
          <w:ilvl w:val="0"/>
          <w:numId w:val="20"/>
        </w:numPr>
        <w:spacing w:line="276" w:lineRule="auto"/>
        <w:jc w:val="both"/>
        <w:rPr>
          <w:rFonts w:ascii="Cambria" w:hAnsi="Cambria"/>
          <w:color w:val="FFFFFF" w:themeColor="background1"/>
          <w:sz w:val="24"/>
          <w:szCs w:val="24"/>
        </w:rPr>
      </w:pPr>
      <w:r w:rsidRPr="00EE3EAB">
        <w:rPr>
          <w:rFonts w:ascii="Cambria" w:hAnsi="Cambria"/>
          <w:b/>
          <w:bCs/>
          <w:color w:val="FFFFFF" w:themeColor="background1"/>
          <w:sz w:val="24"/>
          <w:szCs w:val="24"/>
        </w:rPr>
        <w:t>AI and Machine Learning.</w:t>
      </w:r>
      <w:r w:rsidRPr="00EE3EAB">
        <w:rPr>
          <w:rFonts w:ascii="Cambria" w:hAnsi="Cambria"/>
          <w:color w:val="FFFFFF" w:themeColor="background1"/>
          <w:sz w:val="24"/>
          <w:szCs w:val="24"/>
        </w:rPr>
        <w:t xml:space="preserve"> PCLOB will </w:t>
      </w:r>
      <w:r w:rsidR="001B3370">
        <w:rPr>
          <w:rFonts w:ascii="Cambria" w:hAnsi="Cambria"/>
          <w:color w:val="FFFFFF" w:themeColor="background1"/>
          <w:sz w:val="24"/>
          <w:szCs w:val="24"/>
        </w:rPr>
        <w:t>continue tracking</w:t>
      </w:r>
      <w:r w:rsidRPr="00EE3EAB">
        <w:rPr>
          <w:rFonts w:ascii="Cambria" w:hAnsi="Cambria"/>
          <w:color w:val="FFFFFF" w:themeColor="background1"/>
          <w:sz w:val="24"/>
          <w:szCs w:val="24"/>
        </w:rPr>
        <w:t xml:space="preserve"> the government’s use of AI and machine learning in </w:t>
      </w:r>
      <w:r w:rsidR="00382F72">
        <w:rPr>
          <w:rFonts w:ascii="Cambria" w:hAnsi="Cambria"/>
          <w:color w:val="FFFFFF" w:themeColor="background1"/>
          <w:sz w:val="24"/>
          <w:szCs w:val="24"/>
        </w:rPr>
        <w:t>counterterrorism</w:t>
      </w:r>
      <w:r w:rsidRPr="00EE3EAB">
        <w:rPr>
          <w:rFonts w:ascii="Cambria" w:hAnsi="Cambria"/>
          <w:color w:val="FFFFFF" w:themeColor="background1"/>
          <w:sz w:val="24"/>
          <w:szCs w:val="24"/>
        </w:rPr>
        <w:t xml:space="preserve"> efforts</w:t>
      </w:r>
      <w:r w:rsidR="001B3370" w:rsidRPr="001B3370">
        <w:rPr>
          <w:rFonts w:ascii="Cambria" w:hAnsi="Cambria"/>
          <w:color w:val="FFFFFF" w:themeColor="background1"/>
          <w:sz w:val="24"/>
          <w:szCs w:val="24"/>
        </w:rPr>
        <w:t xml:space="preserve"> </w:t>
      </w:r>
      <w:r w:rsidR="001B3370">
        <w:rPr>
          <w:rFonts w:ascii="Cambria" w:hAnsi="Cambria"/>
          <w:color w:val="FFFFFF" w:themeColor="background1"/>
          <w:sz w:val="24"/>
          <w:szCs w:val="24"/>
        </w:rPr>
        <w:t>and look for opportunities to</w:t>
      </w:r>
      <w:r w:rsidR="00221093" w:rsidRPr="00221093">
        <w:t xml:space="preserve"> </w:t>
      </w:r>
      <w:r w:rsidR="00221093" w:rsidRPr="00221093">
        <w:rPr>
          <w:rFonts w:ascii="Cambria" w:hAnsi="Cambria"/>
          <w:color w:val="FFFFFF" w:themeColor="background1"/>
          <w:sz w:val="24"/>
          <w:szCs w:val="24"/>
        </w:rPr>
        <w:t>provide privacy and civil liberties advice</w:t>
      </w:r>
      <w:r w:rsidR="001B3370">
        <w:rPr>
          <w:rFonts w:ascii="Cambria" w:hAnsi="Cambria"/>
          <w:color w:val="FFFFFF" w:themeColor="background1"/>
          <w:sz w:val="24"/>
          <w:szCs w:val="24"/>
        </w:rPr>
        <w:t xml:space="preserve"> as intelligence agencies adopt the technology</w:t>
      </w:r>
      <w:r w:rsidR="001B3370" w:rsidRPr="005D5754">
        <w:rPr>
          <w:rFonts w:ascii="Cambria" w:hAnsi="Cambria"/>
          <w:color w:val="FFFFFF" w:themeColor="background1"/>
          <w:sz w:val="24"/>
          <w:szCs w:val="24"/>
        </w:rPr>
        <w:t>.</w:t>
      </w:r>
      <w:r w:rsidRPr="00EE3EAB">
        <w:rPr>
          <w:rFonts w:ascii="Cambria" w:hAnsi="Cambria"/>
          <w:color w:val="FFFFFF" w:themeColor="background1"/>
          <w:sz w:val="24"/>
          <w:szCs w:val="24"/>
        </w:rPr>
        <w:t xml:space="preserve"> </w:t>
      </w:r>
    </w:p>
    <w:p w14:paraId="542344F3" w14:textId="63F13BD8" w:rsidR="00D81364" w:rsidRDefault="00EB2B4A" w:rsidP="00A953E5">
      <w:pPr>
        <w:keepNext/>
        <w:keepLines/>
        <w:numPr>
          <w:ilvl w:val="0"/>
          <w:numId w:val="20"/>
        </w:numPr>
        <w:spacing w:before="120" w:line="276" w:lineRule="auto"/>
        <w:jc w:val="both"/>
        <w:rPr>
          <w:rFonts w:ascii="Cambria" w:hAnsi="Cambria"/>
          <w:color w:val="FFFFFF" w:themeColor="background1"/>
          <w:sz w:val="24"/>
          <w:szCs w:val="24"/>
        </w:rPr>
      </w:pPr>
      <w:r w:rsidRPr="00EE3EAB">
        <w:rPr>
          <w:rFonts w:ascii="Cambria" w:hAnsi="Cambria"/>
          <w:b/>
          <w:bCs/>
          <w:color w:val="FFFFFF" w:themeColor="background1"/>
          <w:sz w:val="24"/>
          <w:szCs w:val="24"/>
        </w:rPr>
        <w:t>Increased Staff Development.</w:t>
      </w:r>
      <w:r w:rsidRPr="00EE3EAB">
        <w:rPr>
          <w:rFonts w:ascii="Cambria" w:hAnsi="Cambria"/>
          <w:color w:val="FFFFFF" w:themeColor="background1"/>
          <w:sz w:val="24"/>
          <w:szCs w:val="24"/>
        </w:rPr>
        <w:t xml:space="preserve"> PCLOB will further engage in staff development. PCLOB will continue to hold monthly knowledge sessions for agency staff to learn new subject areas, skills, and investigative processes and tools.</w:t>
      </w:r>
      <w:r w:rsidR="001B3370">
        <w:rPr>
          <w:rFonts w:ascii="Cambria" w:hAnsi="Cambria"/>
          <w:color w:val="FFFFFF" w:themeColor="background1"/>
          <w:sz w:val="24"/>
          <w:szCs w:val="24"/>
        </w:rPr>
        <w:t xml:space="preserve"> Additional opportunities </w:t>
      </w:r>
      <w:r w:rsidR="00E815F3">
        <w:rPr>
          <w:rFonts w:ascii="Cambria" w:hAnsi="Cambria"/>
          <w:color w:val="FFFFFF" w:themeColor="background1"/>
          <w:sz w:val="24"/>
          <w:szCs w:val="24"/>
        </w:rPr>
        <w:t xml:space="preserve">the agency will offer </w:t>
      </w:r>
      <w:r w:rsidR="001B3370">
        <w:rPr>
          <w:rFonts w:ascii="Cambria" w:hAnsi="Cambria"/>
          <w:color w:val="FFFFFF" w:themeColor="background1"/>
          <w:sz w:val="24"/>
          <w:szCs w:val="24"/>
        </w:rPr>
        <w:t>to staff include</w:t>
      </w:r>
      <w:r w:rsidR="001B3370" w:rsidRPr="001B3370">
        <w:rPr>
          <w:rFonts w:ascii="Cambria" w:hAnsi="Cambria"/>
          <w:color w:val="FFFFFF" w:themeColor="background1"/>
          <w:sz w:val="24"/>
          <w:szCs w:val="24"/>
        </w:rPr>
        <w:t xml:space="preserve"> federal privacy training programs, technical certifications, mentorship initiatives, and standardized practice guidelines.</w:t>
      </w:r>
      <w:r w:rsidR="001B3370">
        <w:rPr>
          <w:rFonts w:ascii="Cambria" w:hAnsi="Cambria"/>
          <w:color w:val="FFFFFF" w:themeColor="background1"/>
          <w:sz w:val="24"/>
          <w:szCs w:val="24"/>
        </w:rPr>
        <w:t xml:space="preserve"> </w:t>
      </w:r>
    </w:p>
    <w:p w14:paraId="6818F63E" w14:textId="5DCD6ABE" w:rsidR="00EB2B4A" w:rsidRPr="00EE3EAB" w:rsidRDefault="00EB2B4A" w:rsidP="00A953E5">
      <w:pPr>
        <w:pStyle w:val="ListParagraph"/>
        <w:numPr>
          <w:ilvl w:val="0"/>
          <w:numId w:val="20"/>
        </w:numPr>
        <w:spacing w:line="276" w:lineRule="auto"/>
        <w:contextualSpacing w:val="0"/>
        <w:jc w:val="both"/>
        <w:rPr>
          <w:rFonts w:ascii="Cambria" w:hAnsi="Cambria"/>
          <w:color w:val="FFFFFF" w:themeColor="background1"/>
          <w:sz w:val="24"/>
          <w:szCs w:val="24"/>
        </w:rPr>
      </w:pPr>
      <w:r w:rsidRPr="00EE3EAB">
        <w:rPr>
          <w:rFonts w:ascii="Cambria" w:hAnsi="Cambria"/>
          <w:b/>
          <w:bCs/>
          <w:color w:val="FFFFFF" w:themeColor="background1"/>
          <w:sz w:val="24"/>
          <w:szCs w:val="24"/>
        </w:rPr>
        <w:t>Continued Outreach to the Public, Congress, and Other Federal Agencies.</w:t>
      </w:r>
      <w:r w:rsidRPr="00EE3EAB">
        <w:rPr>
          <w:rFonts w:ascii="Cambria" w:hAnsi="Cambria"/>
          <w:color w:val="FFFFFF" w:themeColor="background1"/>
          <w:sz w:val="24"/>
          <w:szCs w:val="24"/>
        </w:rPr>
        <w:t xml:space="preserve"> PCLOB will maintain its practice of hosting public forums to collect information for its ongoing oversight reviews</w:t>
      </w:r>
      <w:r w:rsidR="00221093">
        <w:rPr>
          <w:rFonts w:ascii="Cambria" w:hAnsi="Cambria"/>
          <w:color w:val="FFFFFF" w:themeColor="background1"/>
          <w:sz w:val="24"/>
          <w:szCs w:val="24"/>
        </w:rPr>
        <w:t>, to consider future oversight projects,</w:t>
      </w:r>
      <w:r w:rsidRPr="00EE3EAB">
        <w:rPr>
          <w:rFonts w:ascii="Cambria" w:hAnsi="Cambria"/>
          <w:color w:val="FFFFFF" w:themeColor="background1"/>
          <w:sz w:val="24"/>
          <w:szCs w:val="24"/>
        </w:rPr>
        <w:t xml:space="preserve"> and to communicate its findings to the public. Additionally, PCLOB will convene regular meetings with privacy officers from the agencies it oversees and will actively participate in the Federal Privacy Council and privacy groups established by the White House.</w:t>
      </w:r>
    </w:p>
    <w:p w14:paraId="5CD0BDCC" w14:textId="68C7FD64" w:rsidR="00EB2B4A" w:rsidRPr="00EE3EAB" w:rsidRDefault="00EB2B4A" w:rsidP="00A953E5">
      <w:pPr>
        <w:pStyle w:val="ListParagraph"/>
        <w:numPr>
          <w:ilvl w:val="0"/>
          <w:numId w:val="20"/>
        </w:numPr>
        <w:spacing w:before="240" w:line="276" w:lineRule="auto"/>
        <w:contextualSpacing w:val="0"/>
        <w:jc w:val="both"/>
        <w:rPr>
          <w:rFonts w:ascii="Cambria" w:hAnsi="Cambria"/>
          <w:color w:val="FFFFFF" w:themeColor="background1"/>
          <w:sz w:val="24"/>
          <w:szCs w:val="24"/>
        </w:rPr>
      </w:pPr>
      <w:r w:rsidRPr="00EE3EAB">
        <w:rPr>
          <w:rFonts w:ascii="Cambria" w:hAnsi="Cambria"/>
          <w:b/>
          <w:bCs/>
          <w:color w:val="FFFFFF" w:themeColor="background1"/>
          <w:sz w:val="24"/>
          <w:szCs w:val="24"/>
        </w:rPr>
        <w:t>Continued Implementation of PCLOB’s New Performance Framework.</w:t>
      </w:r>
      <w:r w:rsidRPr="00EE3EAB">
        <w:rPr>
          <w:rFonts w:ascii="Cambria" w:hAnsi="Cambria"/>
          <w:color w:val="FFFFFF" w:themeColor="background1"/>
          <w:sz w:val="24"/>
          <w:szCs w:val="24"/>
        </w:rPr>
        <w:t xml:space="preserve"> PCLOB will </w:t>
      </w:r>
      <w:r w:rsidR="00E815F3">
        <w:rPr>
          <w:rFonts w:ascii="Cambria" w:hAnsi="Cambria"/>
          <w:color w:val="FFFFFF" w:themeColor="background1"/>
          <w:sz w:val="24"/>
          <w:szCs w:val="24"/>
        </w:rPr>
        <w:t xml:space="preserve">continue efforts to refine </w:t>
      </w:r>
      <w:r w:rsidRPr="00EE3EAB">
        <w:rPr>
          <w:rFonts w:ascii="Cambria" w:hAnsi="Cambria"/>
          <w:color w:val="FFFFFF" w:themeColor="background1"/>
          <w:sz w:val="24"/>
          <w:szCs w:val="24"/>
        </w:rPr>
        <w:t xml:space="preserve">the framework by identifying and addressing any off-track measures, redefining baseline targets as needed, and providing </w:t>
      </w:r>
      <w:r w:rsidR="00E815F3">
        <w:rPr>
          <w:rFonts w:ascii="Cambria" w:hAnsi="Cambria"/>
          <w:color w:val="FFFFFF" w:themeColor="background1"/>
          <w:sz w:val="24"/>
          <w:szCs w:val="24"/>
        </w:rPr>
        <w:t>regular</w:t>
      </w:r>
      <w:r w:rsidR="00E815F3" w:rsidRPr="00EE3EAB">
        <w:rPr>
          <w:rFonts w:ascii="Cambria" w:hAnsi="Cambria"/>
          <w:color w:val="FFFFFF" w:themeColor="background1"/>
          <w:sz w:val="24"/>
          <w:szCs w:val="24"/>
        </w:rPr>
        <w:t xml:space="preserve"> </w:t>
      </w:r>
      <w:r w:rsidRPr="00EE3EAB">
        <w:rPr>
          <w:rFonts w:ascii="Cambria" w:hAnsi="Cambria"/>
          <w:color w:val="FFFFFF" w:themeColor="background1"/>
          <w:sz w:val="24"/>
          <w:szCs w:val="24"/>
        </w:rPr>
        <w:t xml:space="preserve">status updates to both program managers and </w:t>
      </w:r>
      <w:r w:rsidR="00E815F3">
        <w:rPr>
          <w:rFonts w:ascii="Cambria" w:hAnsi="Cambria"/>
          <w:color w:val="FFFFFF" w:themeColor="background1"/>
          <w:sz w:val="24"/>
          <w:szCs w:val="24"/>
        </w:rPr>
        <w:t xml:space="preserve">to </w:t>
      </w:r>
      <w:r w:rsidRPr="00EE3EAB">
        <w:rPr>
          <w:rFonts w:ascii="Cambria" w:hAnsi="Cambria"/>
          <w:color w:val="FFFFFF" w:themeColor="background1"/>
          <w:sz w:val="24"/>
          <w:szCs w:val="24"/>
        </w:rPr>
        <w:t>the Board.</w:t>
      </w:r>
    </w:p>
    <w:p w14:paraId="023032A0" w14:textId="6C9BE7B1" w:rsidR="00EB2B4A" w:rsidRDefault="00EB2B4A">
      <w:pPr>
        <w:rPr>
          <w:rFonts w:ascii="Cambria" w:eastAsiaTheme="majorEastAsia" w:hAnsi="Cambria" w:cstheme="majorBidi"/>
          <w:b/>
          <w:bCs/>
          <w:smallCaps/>
          <w:color w:val="FFFFFF" w:themeColor="background1"/>
          <w:sz w:val="28"/>
          <w:szCs w:val="28"/>
        </w:rPr>
      </w:pPr>
      <w:r>
        <w:rPr>
          <w:rFonts w:ascii="Cambria" w:eastAsiaTheme="majorEastAsia" w:hAnsi="Cambria" w:cstheme="majorBidi"/>
          <w:b/>
          <w:bCs/>
          <w:smallCaps/>
          <w:color w:val="FFFFFF" w:themeColor="background1"/>
          <w:sz w:val="28"/>
          <w:szCs w:val="28"/>
        </w:rPr>
        <w:br w:type="page"/>
      </w:r>
    </w:p>
    <w:bookmarkStart w:id="88" w:name="_Toc212119665"/>
    <w:bookmarkStart w:id="89" w:name="_Toc213421239"/>
    <w:p w14:paraId="2C48EBC2" w14:textId="1C26FA11" w:rsidR="00EB2B4A" w:rsidRPr="00EE3EAB" w:rsidRDefault="00EB2B4A" w:rsidP="00EE3EAB">
      <w:pPr>
        <w:keepNext/>
        <w:keepLines/>
        <w:pBdr>
          <w:bottom w:val="single" w:sz="12" w:space="1" w:color="FFFFFF" w:themeColor="background1"/>
        </w:pBdr>
        <w:spacing w:before="160" w:after="80"/>
        <w:outlineLvl w:val="2"/>
        <w:rPr>
          <w:rFonts w:ascii="Cambria" w:eastAsiaTheme="majorEastAsia" w:hAnsi="Cambria" w:cstheme="majorBidi"/>
          <w:b/>
          <w:bCs/>
          <w:smallCaps/>
          <w:color w:val="FFFFFF" w:themeColor="background1"/>
          <w:sz w:val="28"/>
          <w:szCs w:val="28"/>
        </w:rPr>
      </w:pPr>
      <w:r w:rsidRPr="002110AA">
        <w:rPr>
          <w:rFonts w:ascii="Cambria" w:hAnsi="Cambria"/>
          <w:b/>
          <w:bCs/>
          <w:smallCaps/>
          <w:noProof/>
          <w:color w:val="FFFFFF" w:themeColor="background1"/>
          <w:spacing w:val="10"/>
          <w:sz w:val="30"/>
          <w:szCs w:val="30"/>
        </w:rPr>
        <w:lastRenderedPageBreak/>
        <mc:AlternateContent>
          <mc:Choice Requires="wps">
            <w:drawing>
              <wp:anchor distT="0" distB="0" distL="114300" distR="114300" simplePos="0" relativeHeight="252089856" behindDoc="1" locked="0" layoutInCell="1" allowOverlap="1" wp14:anchorId="06313166" wp14:editId="7574E68C">
                <wp:simplePos x="0" y="0"/>
                <wp:positionH relativeFrom="page">
                  <wp:posOffset>2474</wp:posOffset>
                </wp:positionH>
                <wp:positionV relativeFrom="paragraph">
                  <wp:posOffset>-116832</wp:posOffset>
                </wp:positionV>
                <wp:extent cx="7919085" cy="8298378"/>
                <wp:effectExtent l="38100" t="38100" r="120015" b="121920"/>
                <wp:wrapNone/>
                <wp:docPr id="1836902492" name="Rectangle 18"/>
                <wp:cNvGraphicFramePr/>
                <a:graphic xmlns:a="http://schemas.openxmlformats.org/drawingml/2006/main">
                  <a:graphicData uri="http://schemas.microsoft.com/office/word/2010/wordprocessingShape">
                    <wps:wsp>
                      <wps:cNvSpPr/>
                      <wps:spPr>
                        <a:xfrm>
                          <a:off x="0" y="0"/>
                          <a:ext cx="7919085" cy="8298378"/>
                        </a:xfrm>
                        <a:prstGeom prst="rect">
                          <a:avLst/>
                        </a:prstGeom>
                        <a:solidFill>
                          <a:srgbClr val="424E62"/>
                        </a:solidFill>
                        <a:ln>
                          <a:solidFill>
                            <a:schemeClr val="bg1"/>
                          </a:solid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5A37B" id="Rectangle 18" o:spid="_x0000_s1026" style="position:absolute;margin-left:.2pt;margin-top:-9.2pt;width:623.55pt;height:653.4pt;z-index:-2512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" fillcolor="#424e62" strokecolor="white [3212]" strokeweight="1pt">
                <v:shadow on="t" color="black" opacity="26214f" origin="-.5,-.5" offset=".74836mm,.74836mm"/>
                <w10:wrap anchorx="page"/>
              </v:rect>
            </w:pict>
          </mc:Fallback>
        </mc:AlternateContent>
      </w:r>
      <w:r w:rsidRPr="00EE3EAB">
        <w:rPr>
          <w:rFonts w:ascii="Cambria" w:eastAsiaTheme="majorEastAsia" w:hAnsi="Cambria" w:cstheme="majorBidi"/>
          <w:b/>
          <w:bCs/>
          <w:smallCaps/>
          <w:color w:val="FFFFFF" w:themeColor="background1"/>
          <w:sz w:val="28"/>
          <w:szCs w:val="28"/>
        </w:rPr>
        <w:t>Risks</w:t>
      </w:r>
      <w:bookmarkEnd w:id="88"/>
      <w:bookmarkEnd w:id="89"/>
    </w:p>
    <w:p w14:paraId="3E214733" w14:textId="34C52EF5" w:rsidR="007D5D3C" w:rsidRPr="00D31B72" w:rsidRDefault="005413DC" w:rsidP="003305E2">
      <w:pPr>
        <w:spacing w:before="240" w:after="0"/>
        <w:ind w:left="90" w:right="180"/>
        <w:rPr>
          <w:rFonts w:ascii="Cambria" w:hAnsi="Cambria"/>
          <w:b/>
          <w:bCs/>
          <w:color w:val="FFFFFF" w:themeColor="background1"/>
          <w:sz w:val="24"/>
          <w:szCs w:val="24"/>
        </w:rPr>
      </w:pPr>
      <w:r>
        <w:rPr>
          <w:rFonts w:ascii="Cambria" w:hAnsi="Cambria"/>
          <w:b/>
          <w:bCs/>
          <w:color w:val="FFFFFF" w:themeColor="background1"/>
          <w:sz w:val="24"/>
          <w:szCs w:val="24"/>
        </w:rPr>
        <w:t>RE-ESTABLISHING</w:t>
      </w:r>
      <w:r w:rsidRPr="00D31B72">
        <w:rPr>
          <w:rFonts w:ascii="Cambria" w:hAnsi="Cambria"/>
          <w:b/>
          <w:bCs/>
          <w:color w:val="FFFFFF" w:themeColor="background1"/>
          <w:sz w:val="24"/>
          <w:szCs w:val="24"/>
        </w:rPr>
        <w:t xml:space="preserve"> </w:t>
      </w:r>
      <w:r w:rsidR="007D5D3C" w:rsidRPr="00D31B72">
        <w:rPr>
          <w:rFonts w:ascii="Cambria" w:hAnsi="Cambria"/>
          <w:b/>
          <w:bCs/>
          <w:color w:val="FFFFFF" w:themeColor="background1"/>
          <w:sz w:val="24"/>
          <w:szCs w:val="24"/>
        </w:rPr>
        <w:t>A BOARD QUORUM</w:t>
      </w:r>
    </w:p>
    <w:p w14:paraId="1DD372F1" w14:textId="1B73EE8D" w:rsidR="00D25099" w:rsidRDefault="007D5D3C" w:rsidP="00512EC6">
      <w:pPr>
        <w:spacing w:before="240" w:line="276" w:lineRule="auto"/>
        <w:ind w:left="90" w:right="180"/>
        <w:jc w:val="both"/>
        <w:rPr>
          <w:rFonts w:ascii="Cambria" w:hAnsi="Cambria"/>
          <w:color w:val="FFFFFF" w:themeColor="background1"/>
          <w:sz w:val="24"/>
          <w:szCs w:val="24"/>
        </w:rPr>
      </w:pPr>
      <w:r w:rsidRPr="00D31B72">
        <w:rPr>
          <w:rFonts w:ascii="Cambria" w:hAnsi="Cambria"/>
          <w:bCs/>
          <w:color w:val="FFFFFF" w:themeColor="background1"/>
          <w:sz w:val="24"/>
          <w:szCs w:val="24"/>
        </w:rPr>
        <w:t xml:space="preserve">As previously mentioned, each of the five Members of the Board </w:t>
      </w:r>
      <w:r w:rsidR="005413DC">
        <w:rPr>
          <w:rFonts w:ascii="Cambria" w:hAnsi="Cambria"/>
          <w:bCs/>
          <w:color w:val="FFFFFF" w:themeColor="background1"/>
          <w:sz w:val="24"/>
          <w:szCs w:val="24"/>
        </w:rPr>
        <w:t>is</w:t>
      </w:r>
      <w:r w:rsidR="005413DC" w:rsidRPr="00D31B72">
        <w:rPr>
          <w:rFonts w:ascii="Cambria" w:hAnsi="Cambria"/>
          <w:bCs/>
          <w:color w:val="FFFFFF" w:themeColor="background1"/>
          <w:sz w:val="24"/>
          <w:szCs w:val="24"/>
        </w:rPr>
        <w:t xml:space="preserve"> </w:t>
      </w:r>
      <w:r w:rsidRPr="00D31B72">
        <w:rPr>
          <w:rFonts w:ascii="Cambria" w:hAnsi="Cambria"/>
          <w:bCs/>
          <w:color w:val="FFFFFF" w:themeColor="background1"/>
          <w:sz w:val="24"/>
          <w:szCs w:val="24"/>
        </w:rPr>
        <w:t xml:space="preserve">appointed by the President and </w:t>
      </w:r>
      <w:r w:rsidR="00F14677">
        <w:rPr>
          <w:rFonts w:ascii="Cambria" w:hAnsi="Cambria"/>
          <w:bCs/>
          <w:color w:val="FFFFFF" w:themeColor="background1"/>
          <w:sz w:val="24"/>
          <w:szCs w:val="24"/>
        </w:rPr>
        <w:t xml:space="preserve">with the advice and consent of </w:t>
      </w:r>
      <w:r w:rsidRPr="00D31B72">
        <w:rPr>
          <w:rFonts w:ascii="Cambria" w:hAnsi="Cambria"/>
          <w:bCs/>
          <w:color w:val="FFFFFF" w:themeColor="background1"/>
          <w:sz w:val="24"/>
          <w:szCs w:val="24"/>
        </w:rPr>
        <w:t xml:space="preserve">the Senate. PCLOB’s statute requires that Members of the Board be selected based on their professional qualifications, achievements, public stature, expertise in civil liberties and privacy, and </w:t>
      </w:r>
      <w:r w:rsidR="00755192">
        <w:rPr>
          <w:rFonts w:ascii="Cambria" w:hAnsi="Cambria"/>
          <w:bCs/>
          <w:color w:val="FFFFFF" w:themeColor="background1"/>
          <w:sz w:val="24"/>
          <w:szCs w:val="24"/>
        </w:rPr>
        <w:t xml:space="preserve">other </w:t>
      </w:r>
      <w:r w:rsidRPr="00D31B72">
        <w:rPr>
          <w:rFonts w:ascii="Cambria" w:hAnsi="Cambria"/>
          <w:bCs/>
          <w:color w:val="FFFFFF" w:themeColor="background1"/>
          <w:sz w:val="24"/>
          <w:szCs w:val="24"/>
        </w:rPr>
        <w:t xml:space="preserve">relevant experience; no more than three Members of the Board may come from the same political party. </w:t>
      </w:r>
      <w:r w:rsidR="0073279C">
        <w:rPr>
          <w:rFonts w:ascii="Cambria" w:hAnsi="Cambria"/>
          <w:bCs/>
          <w:color w:val="FFFFFF" w:themeColor="background1"/>
          <w:sz w:val="24"/>
          <w:szCs w:val="24"/>
        </w:rPr>
        <w:t xml:space="preserve">As a result of this process, </w:t>
      </w:r>
      <w:r w:rsidRPr="00D31B72">
        <w:rPr>
          <w:rFonts w:ascii="Cambria" w:hAnsi="Cambria"/>
          <w:bCs/>
          <w:color w:val="FFFFFF" w:themeColor="background1"/>
          <w:sz w:val="24"/>
          <w:szCs w:val="24"/>
        </w:rPr>
        <w:t xml:space="preserve">vacant </w:t>
      </w:r>
      <w:r w:rsidR="0073279C">
        <w:rPr>
          <w:rFonts w:ascii="Cambria" w:hAnsi="Cambria"/>
          <w:bCs/>
          <w:color w:val="FFFFFF" w:themeColor="background1"/>
          <w:sz w:val="24"/>
          <w:szCs w:val="24"/>
        </w:rPr>
        <w:t xml:space="preserve">Member </w:t>
      </w:r>
      <w:r w:rsidRPr="00D31B72">
        <w:rPr>
          <w:rFonts w:ascii="Cambria" w:hAnsi="Cambria"/>
          <w:bCs/>
          <w:color w:val="FFFFFF" w:themeColor="background1"/>
          <w:sz w:val="24"/>
          <w:szCs w:val="24"/>
        </w:rPr>
        <w:t xml:space="preserve">seats can </w:t>
      </w:r>
      <w:r w:rsidR="0073279C">
        <w:rPr>
          <w:rFonts w:ascii="Cambria" w:hAnsi="Cambria"/>
          <w:bCs/>
          <w:color w:val="FFFFFF" w:themeColor="background1"/>
          <w:sz w:val="24"/>
          <w:szCs w:val="24"/>
        </w:rPr>
        <w:t>take time to fill</w:t>
      </w:r>
      <w:r w:rsidRPr="00D31B72">
        <w:rPr>
          <w:rFonts w:ascii="Cambria" w:hAnsi="Cambria"/>
          <w:bCs/>
          <w:color w:val="FFFFFF" w:themeColor="background1"/>
          <w:sz w:val="24"/>
          <w:szCs w:val="24"/>
        </w:rPr>
        <w:t xml:space="preserve">. </w:t>
      </w:r>
    </w:p>
    <w:p w14:paraId="1DB5477F" w14:textId="33E77837" w:rsidR="007D5D3C" w:rsidRPr="00D31B72" w:rsidRDefault="00D25099" w:rsidP="00D25099">
      <w:pPr>
        <w:spacing w:before="240" w:line="276" w:lineRule="auto"/>
        <w:ind w:left="90" w:right="180"/>
        <w:jc w:val="both"/>
        <w:rPr>
          <w:rFonts w:ascii="Cambria" w:hAnsi="Cambria"/>
          <w:bCs/>
          <w:color w:val="FFFFFF" w:themeColor="background1"/>
          <w:sz w:val="24"/>
          <w:szCs w:val="24"/>
        </w:rPr>
      </w:pPr>
      <w:r>
        <w:rPr>
          <w:rFonts w:ascii="Cambria" w:hAnsi="Cambria"/>
          <w:color w:val="FFFFFF" w:themeColor="background1"/>
          <w:sz w:val="24"/>
          <w:szCs w:val="24"/>
        </w:rPr>
        <w:t>In October 2024, the quorate Board adopted a new sub-quorum policy</w:t>
      </w:r>
      <w:r w:rsidRPr="00D25099">
        <w:rPr>
          <w:rFonts w:ascii="Cambria" w:hAnsi="Cambria"/>
          <w:color w:val="FFFFFF" w:themeColor="background1"/>
          <w:sz w:val="24"/>
          <w:szCs w:val="24"/>
        </w:rPr>
        <w:t xml:space="preserve"> to ensure that </w:t>
      </w:r>
      <w:r w:rsidR="00386585">
        <w:rPr>
          <w:rFonts w:ascii="Cambria" w:hAnsi="Cambria"/>
          <w:color w:val="FFFFFF" w:themeColor="background1"/>
          <w:sz w:val="24"/>
          <w:szCs w:val="24"/>
        </w:rPr>
        <w:t xml:space="preserve">various </w:t>
      </w:r>
      <w:r>
        <w:rPr>
          <w:rFonts w:ascii="Cambria" w:hAnsi="Cambria"/>
          <w:color w:val="FFFFFF" w:themeColor="background1"/>
          <w:sz w:val="24"/>
          <w:szCs w:val="24"/>
        </w:rPr>
        <w:t>mission</w:t>
      </w:r>
      <w:r w:rsidR="00386585">
        <w:rPr>
          <w:rFonts w:ascii="Cambria" w:hAnsi="Cambria"/>
          <w:color w:val="FFFFFF" w:themeColor="background1"/>
          <w:sz w:val="24"/>
          <w:szCs w:val="24"/>
        </w:rPr>
        <w:t>-related activities and administrative support functions</w:t>
      </w:r>
      <w:r w:rsidRPr="00D25099">
        <w:rPr>
          <w:rFonts w:ascii="Cambria" w:hAnsi="Cambria"/>
          <w:color w:val="FFFFFF" w:themeColor="background1"/>
          <w:sz w:val="24"/>
          <w:szCs w:val="24"/>
        </w:rPr>
        <w:t xml:space="preserve"> could continue</w:t>
      </w:r>
      <w:r>
        <w:rPr>
          <w:rFonts w:ascii="Cambria" w:hAnsi="Cambria"/>
          <w:color w:val="FFFFFF" w:themeColor="background1"/>
          <w:sz w:val="24"/>
          <w:szCs w:val="24"/>
        </w:rPr>
        <w:t xml:space="preserve"> </w:t>
      </w:r>
      <w:r w:rsidRPr="00D25099">
        <w:rPr>
          <w:rFonts w:ascii="Cambria" w:hAnsi="Cambria"/>
          <w:color w:val="FFFFFF" w:themeColor="background1"/>
          <w:sz w:val="24"/>
          <w:szCs w:val="24"/>
        </w:rPr>
        <w:t xml:space="preserve">more fully than </w:t>
      </w:r>
      <w:r w:rsidR="00386585">
        <w:rPr>
          <w:rFonts w:ascii="Cambria" w:hAnsi="Cambria"/>
          <w:color w:val="FFFFFF" w:themeColor="background1"/>
          <w:sz w:val="24"/>
          <w:szCs w:val="24"/>
        </w:rPr>
        <w:t xml:space="preserve">in previous sub-quorum periods. </w:t>
      </w:r>
      <w:r w:rsidR="004B7259">
        <w:rPr>
          <w:rFonts w:ascii="Cambria" w:hAnsi="Cambria"/>
          <w:color w:val="FFFFFF" w:themeColor="background1"/>
          <w:sz w:val="24"/>
          <w:szCs w:val="24"/>
        </w:rPr>
        <w:t xml:space="preserve">When the Board </w:t>
      </w:r>
      <w:r w:rsidR="00E815F3">
        <w:rPr>
          <w:rFonts w:ascii="Cambria" w:hAnsi="Cambria"/>
          <w:color w:val="FFFFFF" w:themeColor="background1"/>
          <w:sz w:val="24"/>
          <w:szCs w:val="24"/>
        </w:rPr>
        <w:t>went sub-quorum</w:t>
      </w:r>
      <w:r w:rsidR="004B7259">
        <w:rPr>
          <w:rFonts w:ascii="Cambria" w:hAnsi="Cambria"/>
          <w:color w:val="FFFFFF" w:themeColor="background1"/>
          <w:sz w:val="24"/>
          <w:szCs w:val="24"/>
        </w:rPr>
        <w:t xml:space="preserve"> in early 2025, significant and substantive work continue</w:t>
      </w:r>
      <w:r w:rsidR="00386585">
        <w:rPr>
          <w:rFonts w:ascii="Cambria" w:hAnsi="Cambria"/>
          <w:color w:val="FFFFFF" w:themeColor="background1"/>
          <w:sz w:val="24"/>
          <w:szCs w:val="24"/>
        </w:rPr>
        <w:t>d</w:t>
      </w:r>
      <w:r w:rsidR="004B7259">
        <w:rPr>
          <w:rFonts w:ascii="Cambria" w:hAnsi="Cambria"/>
          <w:color w:val="FFFFFF" w:themeColor="background1"/>
          <w:sz w:val="24"/>
          <w:szCs w:val="24"/>
        </w:rPr>
        <w:t xml:space="preserve"> under the direction of the remaining Member.</w:t>
      </w:r>
      <w:r w:rsidR="005413DC">
        <w:rPr>
          <w:rFonts w:ascii="Cambria" w:hAnsi="Cambria"/>
          <w:color w:val="FFFFFF" w:themeColor="background1"/>
          <w:sz w:val="24"/>
          <w:szCs w:val="24"/>
        </w:rPr>
        <w:t xml:space="preserve"> While additional projects can be pursued in the name of the individual Member, a quorum is required to open new PCLOB projects.</w:t>
      </w:r>
    </w:p>
    <w:p w14:paraId="4E84900E" w14:textId="77777777" w:rsidR="007D5D3C" w:rsidRPr="00D31B72" w:rsidRDefault="007D5D3C" w:rsidP="007D5D3C">
      <w:pPr>
        <w:spacing w:before="240" w:line="276" w:lineRule="auto"/>
        <w:ind w:left="90" w:right="180"/>
        <w:jc w:val="both"/>
        <w:rPr>
          <w:rFonts w:ascii="Cambria" w:hAnsi="Cambria"/>
          <w:b/>
          <w:bCs/>
          <w:color w:val="FFFFFF" w:themeColor="background1"/>
          <w:sz w:val="24"/>
          <w:szCs w:val="24"/>
        </w:rPr>
      </w:pPr>
      <w:r w:rsidRPr="00D31B72">
        <w:rPr>
          <w:rFonts w:ascii="Cambria" w:hAnsi="Cambria"/>
          <w:b/>
          <w:bCs/>
          <w:color w:val="FFFFFF" w:themeColor="background1"/>
          <w:sz w:val="24"/>
          <w:szCs w:val="24"/>
        </w:rPr>
        <w:t>ACHIEVING COMPLIANCE DESPITE SIZE LIMITATIONS</w:t>
      </w:r>
    </w:p>
    <w:p w14:paraId="4E973669" w14:textId="1C57E5ED" w:rsidR="007D5D3C" w:rsidRPr="00D31B72" w:rsidRDefault="007D5D3C" w:rsidP="007D5D3C">
      <w:pPr>
        <w:spacing w:before="240" w:line="276" w:lineRule="auto"/>
        <w:ind w:left="90" w:right="180"/>
        <w:jc w:val="both"/>
        <w:rPr>
          <w:rFonts w:ascii="Cambria" w:hAnsi="Cambria"/>
          <w:bCs/>
          <w:color w:val="FFFFFF" w:themeColor="background1"/>
          <w:sz w:val="24"/>
          <w:szCs w:val="24"/>
        </w:rPr>
      </w:pPr>
      <w:r w:rsidRPr="00D31B72">
        <w:rPr>
          <w:rFonts w:ascii="Cambria" w:hAnsi="Cambria"/>
          <w:bCs/>
          <w:color w:val="FFFFFF" w:themeColor="background1"/>
          <w:sz w:val="24"/>
          <w:szCs w:val="24"/>
        </w:rPr>
        <w:t xml:space="preserve">As a small, executive branch agency, consisting of </w:t>
      </w:r>
      <w:r w:rsidR="005413DC">
        <w:rPr>
          <w:rFonts w:ascii="Cambria" w:hAnsi="Cambria"/>
          <w:bCs/>
          <w:color w:val="FFFFFF" w:themeColor="background1"/>
          <w:sz w:val="24"/>
          <w:szCs w:val="24"/>
        </w:rPr>
        <w:t>f</w:t>
      </w:r>
      <w:r w:rsidR="006F3C48">
        <w:rPr>
          <w:rFonts w:ascii="Cambria" w:hAnsi="Cambria"/>
          <w:bCs/>
          <w:color w:val="FFFFFF" w:themeColor="background1"/>
          <w:sz w:val="24"/>
          <w:szCs w:val="24"/>
        </w:rPr>
        <w:t>e</w:t>
      </w:r>
      <w:r w:rsidR="005413DC">
        <w:rPr>
          <w:rFonts w:ascii="Cambria" w:hAnsi="Cambria"/>
          <w:bCs/>
          <w:color w:val="FFFFFF" w:themeColor="background1"/>
          <w:sz w:val="24"/>
          <w:szCs w:val="24"/>
        </w:rPr>
        <w:t xml:space="preserve">wer </w:t>
      </w:r>
      <w:r w:rsidR="00E815F3">
        <w:rPr>
          <w:rFonts w:ascii="Cambria" w:hAnsi="Cambria"/>
          <w:bCs/>
          <w:color w:val="FFFFFF" w:themeColor="background1"/>
          <w:sz w:val="24"/>
          <w:szCs w:val="24"/>
        </w:rPr>
        <w:t>than</w:t>
      </w:r>
      <w:r w:rsidR="00E815F3" w:rsidRPr="00D31B72">
        <w:rPr>
          <w:rFonts w:ascii="Cambria" w:hAnsi="Cambria"/>
          <w:bCs/>
          <w:color w:val="FFFFFF" w:themeColor="background1"/>
          <w:sz w:val="24"/>
          <w:szCs w:val="24"/>
        </w:rPr>
        <w:t xml:space="preserve"> </w:t>
      </w:r>
      <w:r w:rsidR="00996370">
        <w:rPr>
          <w:rFonts w:ascii="Cambria" w:hAnsi="Cambria"/>
          <w:bCs/>
          <w:color w:val="FFFFFF" w:themeColor="background1"/>
          <w:sz w:val="24"/>
          <w:szCs w:val="24"/>
        </w:rPr>
        <w:t>30</w:t>
      </w:r>
      <w:r w:rsidR="00E815F3" w:rsidRPr="00D31B72">
        <w:rPr>
          <w:rFonts w:ascii="Cambria" w:hAnsi="Cambria"/>
          <w:bCs/>
          <w:color w:val="FFFFFF" w:themeColor="background1"/>
          <w:sz w:val="24"/>
          <w:szCs w:val="24"/>
        </w:rPr>
        <w:t xml:space="preserve"> </w:t>
      </w:r>
      <w:r w:rsidRPr="00D31B72">
        <w:rPr>
          <w:rFonts w:ascii="Cambria" w:hAnsi="Cambria"/>
          <w:bCs/>
          <w:color w:val="FFFFFF" w:themeColor="background1"/>
          <w:sz w:val="24"/>
          <w:szCs w:val="24"/>
        </w:rPr>
        <w:t>full-time employees</w:t>
      </w:r>
      <w:r w:rsidR="00BC6A54">
        <w:rPr>
          <w:rFonts w:ascii="Cambria" w:hAnsi="Cambria"/>
          <w:bCs/>
          <w:color w:val="FFFFFF" w:themeColor="background1"/>
          <w:sz w:val="24"/>
          <w:szCs w:val="24"/>
        </w:rPr>
        <w:t xml:space="preserve"> at the end of FY 2025</w:t>
      </w:r>
      <w:r w:rsidRPr="00D31B72">
        <w:rPr>
          <w:rFonts w:ascii="Cambria" w:hAnsi="Cambria"/>
          <w:bCs/>
          <w:color w:val="FFFFFF" w:themeColor="background1"/>
          <w:sz w:val="24"/>
          <w:szCs w:val="24"/>
        </w:rPr>
        <w:t xml:space="preserve">, PCLOB must still meet various statutory requirements applicable to all agencies. Compliance can pose challenges given PCLOB’s limited staff and resources, as well as its unique mission which often requires handling classified information. To that end, as provided in OMB Circular A-11, </w:t>
      </w:r>
      <w:r w:rsidR="00A953E5" w:rsidRPr="007D52FA">
        <w:rPr>
          <w:rFonts w:ascii="Cambria" w:hAnsi="Cambria"/>
          <w:bCs/>
          <w:i/>
          <w:iCs/>
          <w:color w:val="FFFFFF" w:themeColor="background1"/>
          <w:sz w:val="24"/>
          <w:szCs w:val="24"/>
        </w:rPr>
        <w:t>Preparation, Submission, and Execution of the Budget</w:t>
      </w:r>
      <w:r w:rsidR="00A953E5">
        <w:rPr>
          <w:rFonts w:ascii="Cambria" w:hAnsi="Cambria"/>
          <w:bCs/>
          <w:color w:val="FFFFFF" w:themeColor="background1"/>
          <w:sz w:val="24"/>
          <w:szCs w:val="24"/>
        </w:rPr>
        <w:t xml:space="preserve">, </w:t>
      </w:r>
      <w:r w:rsidRPr="00D31B72">
        <w:rPr>
          <w:rFonts w:ascii="Cambria" w:hAnsi="Cambria"/>
          <w:bCs/>
          <w:color w:val="FFFFFF" w:themeColor="background1"/>
          <w:sz w:val="24"/>
          <w:szCs w:val="24"/>
        </w:rPr>
        <w:t xml:space="preserve">PCLOB sought and obtained from OMB a </w:t>
      </w:r>
      <w:r w:rsidR="00D25099">
        <w:rPr>
          <w:rFonts w:ascii="Cambria" w:hAnsi="Cambria"/>
          <w:bCs/>
          <w:color w:val="FFFFFF" w:themeColor="background1"/>
          <w:sz w:val="24"/>
          <w:szCs w:val="24"/>
        </w:rPr>
        <w:t>five</w:t>
      </w:r>
      <w:r w:rsidRPr="00D31B72">
        <w:rPr>
          <w:rFonts w:ascii="Cambria" w:hAnsi="Cambria"/>
          <w:bCs/>
          <w:color w:val="FFFFFF" w:themeColor="background1"/>
          <w:sz w:val="24"/>
          <w:szCs w:val="24"/>
        </w:rPr>
        <w:t xml:space="preserve">-year exemption from certain sections of </w:t>
      </w:r>
      <w:bookmarkStart w:id="90" w:name="_Hlk182471173"/>
      <w:r w:rsidR="00D87661">
        <w:rPr>
          <w:rFonts w:ascii="Cambria" w:hAnsi="Cambria"/>
          <w:bCs/>
          <w:color w:val="FFFFFF" w:themeColor="background1"/>
          <w:sz w:val="24"/>
          <w:szCs w:val="24"/>
        </w:rPr>
        <w:t>GPRA</w:t>
      </w:r>
      <w:r w:rsidRPr="00D31B72">
        <w:rPr>
          <w:rFonts w:ascii="Cambria" w:hAnsi="Cambria"/>
          <w:bCs/>
          <w:color w:val="FFFFFF" w:themeColor="background1"/>
          <w:sz w:val="24"/>
          <w:szCs w:val="24"/>
        </w:rPr>
        <w:t xml:space="preserve">. </w:t>
      </w:r>
      <w:bookmarkEnd w:id="90"/>
      <w:r w:rsidRPr="00D31B72">
        <w:rPr>
          <w:rFonts w:ascii="Cambria" w:hAnsi="Cambria"/>
          <w:bCs/>
          <w:color w:val="FFFFFF" w:themeColor="background1"/>
          <w:sz w:val="24"/>
          <w:szCs w:val="24"/>
        </w:rPr>
        <w:t>As long as PCLOB’s annual outlays remain under $20 million, the agency remains exempt from annual performance plan and performance reporting requirements until FY 20</w:t>
      </w:r>
      <w:r w:rsidR="00D25099">
        <w:rPr>
          <w:rFonts w:ascii="Cambria" w:hAnsi="Cambria"/>
          <w:bCs/>
          <w:color w:val="FFFFFF" w:themeColor="background1"/>
          <w:sz w:val="24"/>
          <w:szCs w:val="24"/>
        </w:rPr>
        <w:t>30</w:t>
      </w:r>
      <w:r w:rsidRPr="00D31B72">
        <w:rPr>
          <w:rFonts w:ascii="Cambria" w:hAnsi="Cambria"/>
          <w:bCs/>
          <w:color w:val="FFFFFF" w:themeColor="background1"/>
          <w:sz w:val="24"/>
          <w:szCs w:val="24"/>
        </w:rPr>
        <w:t xml:space="preserve">. However, the agency will continue to report on its performance through its mission projects and operational achievements in the reports issued throughout the year such as the semi-annual reports, </w:t>
      </w:r>
      <w:r w:rsidR="00386585">
        <w:rPr>
          <w:rFonts w:ascii="Cambria" w:hAnsi="Cambria"/>
          <w:bCs/>
          <w:color w:val="FFFFFF" w:themeColor="background1"/>
          <w:sz w:val="24"/>
          <w:szCs w:val="24"/>
        </w:rPr>
        <w:t>c</w:t>
      </w:r>
      <w:r w:rsidR="00A953E5">
        <w:rPr>
          <w:rFonts w:ascii="Cambria" w:hAnsi="Cambria"/>
          <w:bCs/>
          <w:color w:val="FFFFFF" w:themeColor="background1"/>
          <w:sz w:val="24"/>
          <w:szCs w:val="24"/>
        </w:rPr>
        <w:t xml:space="preserve">ongressional </w:t>
      </w:r>
      <w:r w:rsidR="00386585">
        <w:rPr>
          <w:rFonts w:ascii="Cambria" w:hAnsi="Cambria"/>
          <w:bCs/>
          <w:color w:val="FFFFFF" w:themeColor="background1"/>
          <w:sz w:val="24"/>
          <w:szCs w:val="24"/>
        </w:rPr>
        <w:t>b</w:t>
      </w:r>
      <w:r w:rsidR="00A953E5">
        <w:rPr>
          <w:rFonts w:ascii="Cambria" w:hAnsi="Cambria"/>
          <w:bCs/>
          <w:color w:val="FFFFFF" w:themeColor="background1"/>
          <w:sz w:val="24"/>
          <w:szCs w:val="24"/>
        </w:rPr>
        <w:t xml:space="preserve">udget </w:t>
      </w:r>
      <w:r w:rsidR="00386585">
        <w:rPr>
          <w:rFonts w:ascii="Cambria" w:hAnsi="Cambria"/>
          <w:bCs/>
          <w:color w:val="FFFFFF" w:themeColor="background1"/>
          <w:sz w:val="24"/>
          <w:szCs w:val="24"/>
        </w:rPr>
        <w:t>j</w:t>
      </w:r>
      <w:r w:rsidR="00A953E5">
        <w:rPr>
          <w:rFonts w:ascii="Cambria" w:hAnsi="Cambria"/>
          <w:bCs/>
          <w:color w:val="FFFFFF" w:themeColor="background1"/>
          <w:sz w:val="24"/>
          <w:szCs w:val="24"/>
        </w:rPr>
        <w:t>ustifications</w:t>
      </w:r>
      <w:r w:rsidRPr="00D31B72">
        <w:rPr>
          <w:rFonts w:ascii="Cambria" w:hAnsi="Cambria"/>
          <w:bCs/>
          <w:color w:val="FFFFFF" w:themeColor="background1"/>
          <w:sz w:val="24"/>
          <w:szCs w:val="24"/>
        </w:rPr>
        <w:t>, and AFRs.</w:t>
      </w:r>
    </w:p>
    <w:p w14:paraId="5C5B85E7" w14:textId="77777777" w:rsidR="009A0859" w:rsidRDefault="006B1A7E">
      <w:pPr>
        <w:rPr>
          <w:rFonts w:ascii="Cambria" w:hAnsi="Cambria"/>
          <w:b/>
          <w:bCs/>
          <w:color w:val="FFFFFF" w:themeColor="background1"/>
          <w:sz w:val="24"/>
          <w:szCs w:val="24"/>
        </w:rPr>
        <w:sectPr w:rsidR="009A0859" w:rsidSect="00AC59B8">
          <w:headerReference w:type="default" r:id="rId87"/>
          <w:footnotePr>
            <w:pos w:val="beneathText"/>
          </w:footnotePr>
          <w:type w:val="continuous"/>
          <w:pgSz w:w="12240" w:h="15840"/>
          <w:pgMar w:top="1871" w:right="1440" w:bottom="1080" w:left="1440" w:header="450" w:footer="720" w:gutter="0"/>
          <w:cols w:space="720"/>
          <w:docGrid w:linePitch="360"/>
        </w:sectPr>
      </w:pPr>
      <w:r>
        <w:rPr>
          <w:rFonts w:ascii="Cambria" w:hAnsi="Cambria"/>
          <w:b/>
          <w:bCs/>
          <w:color w:val="FFFFFF" w:themeColor="background1"/>
          <w:sz w:val="24"/>
          <w:szCs w:val="24"/>
        </w:rPr>
        <w:br w:type="page"/>
      </w:r>
    </w:p>
    <w:p w14:paraId="3BFA8277" w14:textId="77777777" w:rsidR="006B1A7E" w:rsidRDefault="006B1A7E">
      <w:pPr>
        <w:rPr>
          <w:rFonts w:ascii="Cambria" w:hAnsi="Cambria"/>
          <w:b/>
          <w:bCs/>
          <w:color w:val="FFFFFF" w:themeColor="background1"/>
          <w:sz w:val="24"/>
          <w:szCs w:val="24"/>
        </w:rPr>
      </w:pPr>
    </w:p>
    <w:p w14:paraId="39AB48DA" w14:textId="1334F06E" w:rsidR="00985E12" w:rsidRPr="00020A0C" w:rsidRDefault="00E160D4" w:rsidP="00985E12">
      <w:pPr>
        <w:pStyle w:val="Heading2"/>
      </w:pPr>
      <w:bookmarkStart w:id="91" w:name="_Toc213421240"/>
      <w:bookmarkStart w:id="92" w:name="_Hlk212124744"/>
      <w:bookmarkStart w:id="93" w:name="_Hlk210820179"/>
      <w:bookmarkStart w:id="94" w:name="_Toc85212082"/>
      <w:bookmarkStart w:id="95" w:name="_Toc86327255"/>
      <w:bookmarkEnd w:id="84"/>
      <w:bookmarkEnd w:id="85"/>
      <w:r>
        <w:t xml:space="preserve">FY </w:t>
      </w:r>
      <w:r w:rsidR="0049075B">
        <w:t>2025</w:t>
      </w:r>
      <w:r>
        <w:t xml:space="preserve"> </w:t>
      </w:r>
      <w:r w:rsidR="00985E12" w:rsidRPr="00020A0C">
        <w:t>Management Assurance Statement</w:t>
      </w:r>
      <w:bookmarkEnd w:id="91"/>
    </w:p>
    <w:p w14:paraId="2FE7C4B8" w14:textId="7E953326" w:rsidR="00985E12" w:rsidRPr="00020A0C" w:rsidRDefault="00985E12" w:rsidP="00985E12">
      <w:pPr>
        <w:jc w:val="both"/>
        <w:rPr>
          <w:rFonts w:ascii="Cambria" w:hAnsi="Cambria"/>
          <w:sz w:val="24"/>
          <w:szCs w:val="24"/>
        </w:rPr>
      </w:pPr>
      <w:r w:rsidRPr="00020A0C">
        <w:rPr>
          <w:rFonts w:ascii="Cambria" w:hAnsi="Cambria"/>
          <w:sz w:val="24"/>
          <w:szCs w:val="24"/>
        </w:rPr>
        <w:t xml:space="preserve">The management of </w:t>
      </w:r>
      <w:r w:rsidR="006E6991">
        <w:rPr>
          <w:rFonts w:ascii="Cambria" w:hAnsi="Cambria"/>
          <w:sz w:val="24"/>
          <w:szCs w:val="24"/>
        </w:rPr>
        <w:t>PCLOB</w:t>
      </w:r>
      <w:r w:rsidR="004A2CE4">
        <w:rPr>
          <w:rFonts w:ascii="Cambria" w:hAnsi="Cambria"/>
          <w:sz w:val="24"/>
          <w:szCs w:val="24"/>
        </w:rPr>
        <w:t xml:space="preserve"> </w:t>
      </w:r>
      <w:r w:rsidRPr="00020A0C">
        <w:rPr>
          <w:rFonts w:ascii="Cambria" w:hAnsi="Cambria"/>
          <w:sz w:val="24"/>
          <w:szCs w:val="24"/>
        </w:rPr>
        <w:t xml:space="preserve">is responsible for </w:t>
      </w:r>
      <w:r w:rsidR="004C4BE5">
        <w:rPr>
          <w:rFonts w:ascii="Cambria" w:hAnsi="Cambria"/>
          <w:sz w:val="24"/>
          <w:szCs w:val="24"/>
        </w:rPr>
        <w:t xml:space="preserve">establishing and maintaining effective </w:t>
      </w:r>
      <w:r w:rsidRPr="00020A0C">
        <w:rPr>
          <w:rFonts w:ascii="Cambria" w:hAnsi="Cambria"/>
          <w:sz w:val="24"/>
          <w:szCs w:val="24"/>
        </w:rPr>
        <w:t xml:space="preserve">internal control </w:t>
      </w:r>
      <w:r w:rsidR="004C4BE5">
        <w:rPr>
          <w:rFonts w:ascii="Cambria" w:hAnsi="Cambria"/>
          <w:sz w:val="24"/>
          <w:szCs w:val="24"/>
        </w:rPr>
        <w:t xml:space="preserve">over financial reporting, </w:t>
      </w:r>
      <w:r w:rsidR="004C4BE5" w:rsidRPr="004C4BE5">
        <w:rPr>
          <w:rFonts w:ascii="Cambria" w:hAnsi="Cambria"/>
          <w:sz w:val="24"/>
          <w:szCs w:val="24"/>
        </w:rPr>
        <w:t>which includes safeguarding of assets and compliance with applicable laws and regulations</w:t>
      </w:r>
      <w:r w:rsidR="004C4BE5">
        <w:rPr>
          <w:rFonts w:ascii="Cambria" w:hAnsi="Cambria"/>
          <w:sz w:val="24"/>
          <w:szCs w:val="24"/>
        </w:rPr>
        <w:t>, in accordance with</w:t>
      </w:r>
      <w:r w:rsidRPr="00020A0C">
        <w:rPr>
          <w:rFonts w:ascii="Cambria" w:hAnsi="Cambria"/>
          <w:sz w:val="24"/>
          <w:szCs w:val="24"/>
        </w:rPr>
        <w:t xml:space="preserve"> the objectives of the</w:t>
      </w:r>
      <w:r w:rsidR="004A2CE4">
        <w:rPr>
          <w:rFonts w:ascii="Cambria" w:hAnsi="Cambria"/>
          <w:sz w:val="24"/>
          <w:szCs w:val="24"/>
        </w:rPr>
        <w:t xml:space="preserve"> </w:t>
      </w:r>
      <w:r w:rsidR="004A2CE4" w:rsidRPr="004A2CE4">
        <w:rPr>
          <w:rFonts w:ascii="Cambria" w:hAnsi="Cambria"/>
          <w:sz w:val="24"/>
          <w:szCs w:val="24"/>
        </w:rPr>
        <w:t>Federal Managers’ Financial Integrity Act of 1982</w:t>
      </w:r>
      <w:r w:rsidRPr="00020A0C">
        <w:rPr>
          <w:rFonts w:ascii="Cambria" w:hAnsi="Cambria"/>
          <w:sz w:val="24"/>
          <w:szCs w:val="24"/>
        </w:rPr>
        <w:t xml:space="preserve"> </w:t>
      </w:r>
      <w:r w:rsidR="004A2CE4">
        <w:rPr>
          <w:rFonts w:ascii="Cambria" w:hAnsi="Cambria"/>
          <w:sz w:val="24"/>
          <w:szCs w:val="24"/>
        </w:rPr>
        <w:t>(</w:t>
      </w:r>
      <w:r w:rsidRPr="00020A0C">
        <w:rPr>
          <w:rFonts w:ascii="Cambria" w:hAnsi="Cambria"/>
          <w:sz w:val="24"/>
          <w:szCs w:val="24"/>
        </w:rPr>
        <w:t>FMFIA</w:t>
      </w:r>
      <w:r w:rsidR="004A2CE4">
        <w:rPr>
          <w:rFonts w:ascii="Cambria" w:hAnsi="Cambria"/>
          <w:sz w:val="24"/>
          <w:szCs w:val="24"/>
        </w:rPr>
        <w:t>)</w:t>
      </w:r>
      <w:r w:rsidRPr="00020A0C">
        <w:rPr>
          <w:rFonts w:ascii="Cambria" w:hAnsi="Cambria"/>
          <w:sz w:val="24"/>
          <w:szCs w:val="24"/>
        </w:rPr>
        <w:t xml:space="preserve">. </w:t>
      </w:r>
    </w:p>
    <w:p w14:paraId="2B2530F9" w14:textId="7F271B11" w:rsidR="00985E12" w:rsidRDefault="00985E12" w:rsidP="00985E12">
      <w:pPr>
        <w:jc w:val="both"/>
        <w:rPr>
          <w:rFonts w:ascii="Cambria" w:hAnsi="Cambria"/>
          <w:sz w:val="24"/>
          <w:szCs w:val="24"/>
        </w:rPr>
      </w:pPr>
      <w:r w:rsidRPr="00020A0C">
        <w:rPr>
          <w:rFonts w:ascii="Cambria" w:hAnsi="Cambria"/>
          <w:sz w:val="24"/>
          <w:szCs w:val="24"/>
        </w:rPr>
        <w:t xml:space="preserve">We </w:t>
      </w:r>
      <w:r w:rsidR="004C4BE5">
        <w:rPr>
          <w:rFonts w:ascii="Cambria" w:hAnsi="Cambria"/>
          <w:sz w:val="24"/>
          <w:szCs w:val="24"/>
        </w:rPr>
        <w:t xml:space="preserve">conducted our assessment of the effectiveness </w:t>
      </w:r>
      <w:r w:rsidR="004C4BE5" w:rsidRPr="004C4BE5">
        <w:rPr>
          <w:rFonts w:ascii="Cambria" w:hAnsi="Cambria"/>
          <w:sz w:val="24"/>
          <w:szCs w:val="24"/>
        </w:rPr>
        <w:t xml:space="preserve">of the </w:t>
      </w:r>
      <w:r w:rsidR="004C4BE5">
        <w:rPr>
          <w:rFonts w:ascii="Cambria" w:hAnsi="Cambria"/>
          <w:sz w:val="24"/>
          <w:szCs w:val="24"/>
        </w:rPr>
        <w:t>PCLOB’s</w:t>
      </w:r>
      <w:r w:rsidR="004C4BE5" w:rsidRPr="004C4BE5">
        <w:rPr>
          <w:rFonts w:ascii="Cambria" w:hAnsi="Cambria"/>
          <w:sz w:val="24"/>
          <w:szCs w:val="24"/>
        </w:rPr>
        <w:t xml:space="preserve"> internal control over financial reporting in accordance with OMB Circular A-123, </w:t>
      </w:r>
      <w:r w:rsidR="004C4BE5" w:rsidRPr="00AC59B8">
        <w:rPr>
          <w:rFonts w:ascii="Cambria" w:hAnsi="Cambria"/>
          <w:i/>
          <w:iCs/>
          <w:sz w:val="24"/>
          <w:szCs w:val="24"/>
        </w:rPr>
        <w:t>Management’s Responsibility for Internal Control</w:t>
      </w:r>
      <w:r w:rsidR="004C4BE5" w:rsidRPr="004C4BE5">
        <w:rPr>
          <w:rFonts w:ascii="Cambria" w:hAnsi="Cambria"/>
          <w:sz w:val="24"/>
          <w:szCs w:val="24"/>
        </w:rPr>
        <w:t xml:space="preserve">. Based on the results of this evaluation, </w:t>
      </w:r>
      <w:r w:rsidR="004C4BE5">
        <w:rPr>
          <w:rFonts w:ascii="Cambria" w:hAnsi="Cambria"/>
          <w:sz w:val="24"/>
          <w:szCs w:val="24"/>
        </w:rPr>
        <w:t>PCLOB</w:t>
      </w:r>
      <w:r w:rsidR="004C4BE5" w:rsidRPr="004C4BE5">
        <w:rPr>
          <w:rFonts w:ascii="Cambria" w:hAnsi="Cambria"/>
          <w:sz w:val="24"/>
          <w:szCs w:val="24"/>
        </w:rPr>
        <w:t xml:space="preserve"> can provide reasonable assurance that internal control over financial reporting as of </w:t>
      </w:r>
      <w:r w:rsidR="004C4BE5">
        <w:rPr>
          <w:rFonts w:ascii="Cambria" w:hAnsi="Cambria"/>
          <w:sz w:val="24"/>
          <w:szCs w:val="24"/>
        </w:rPr>
        <w:t>September</w:t>
      </w:r>
      <w:r w:rsidR="004C4BE5" w:rsidRPr="004C4BE5">
        <w:rPr>
          <w:rFonts w:ascii="Cambria" w:hAnsi="Cambria"/>
          <w:sz w:val="24"/>
          <w:szCs w:val="24"/>
        </w:rPr>
        <w:t xml:space="preserve"> 30, 2</w:t>
      </w:r>
      <w:r w:rsidR="004C4BE5">
        <w:rPr>
          <w:rFonts w:ascii="Cambria" w:hAnsi="Cambria"/>
          <w:sz w:val="24"/>
          <w:szCs w:val="24"/>
        </w:rPr>
        <w:t>025</w:t>
      </w:r>
      <w:r w:rsidR="00207824">
        <w:rPr>
          <w:rFonts w:ascii="Cambria" w:hAnsi="Cambria"/>
          <w:sz w:val="24"/>
          <w:szCs w:val="24"/>
        </w:rPr>
        <w:t>,</w:t>
      </w:r>
      <w:r w:rsidR="004C4BE5" w:rsidRPr="004C4BE5">
        <w:rPr>
          <w:rFonts w:ascii="Cambria" w:hAnsi="Cambria"/>
          <w:sz w:val="24"/>
          <w:szCs w:val="24"/>
        </w:rPr>
        <w:t xml:space="preserve"> was operating effectively and no material weaknesses were found in the design or operation of the internal controls over financial reporting.</w:t>
      </w:r>
      <w:r w:rsidRPr="00020A0C">
        <w:rPr>
          <w:rFonts w:ascii="Cambria" w:hAnsi="Cambria"/>
          <w:sz w:val="24"/>
          <w:szCs w:val="24"/>
        </w:rPr>
        <w:t xml:space="preserve"> </w:t>
      </w:r>
    </w:p>
    <w:p w14:paraId="4A45AE2C" w14:textId="6587C2D7" w:rsidR="00BC63EA" w:rsidRPr="00020A0C" w:rsidRDefault="00BC6A54" w:rsidP="00985E12">
      <w:pPr>
        <w:jc w:val="both"/>
        <w:rPr>
          <w:rFonts w:ascii="Cambria" w:hAnsi="Cambria"/>
          <w:sz w:val="24"/>
          <w:szCs w:val="24"/>
        </w:rPr>
      </w:pPr>
      <w:r>
        <w:rPr>
          <w:rFonts w:ascii="Cambria" w:hAnsi="Cambria"/>
          <w:noProof/>
          <w:sz w:val="24"/>
          <w:szCs w:val="24"/>
        </w:rPr>
        <w:drawing>
          <wp:anchor distT="0" distB="0" distL="114300" distR="114300" simplePos="0" relativeHeight="252192256" behindDoc="0" locked="0" layoutInCell="1" allowOverlap="1" wp14:anchorId="5D3BB3A7" wp14:editId="41EA2957">
            <wp:simplePos x="0" y="0"/>
            <wp:positionH relativeFrom="margin">
              <wp:posOffset>3181170</wp:posOffset>
            </wp:positionH>
            <wp:positionV relativeFrom="page">
              <wp:posOffset>4157733</wp:posOffset>
            </wp:positionV>
            <wp:extent cx="1130300" cy="436245"/>
            <wp:effectExtent l="0" t="0" r="0" b="1905"/>
            <wp:wrapSquare wrapText="bothSides"/>
            <wp:docPr id="58772415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30300" cy="436245"/>
                    </a:xfrm>
                    <a:prstGeom prst="rect">
                      <a:avLst/>
                    </a:prstGeom>
                    <a:noFill/>
                  </pic:spPr>
                </pic:pic>
              </a:graphicData>
            </a:graphic>
            <wp14:sizeRelH relativeFrom="page">
              <wp14:pctWidth>0</wp14:pctWidth>
            </wp14:sizeRelH>
            <wp14:sizeRelV relativeFrom="page">
              <wp14:pctHeight>0</wp14:pctHeight>
            </wp14:sizeRelV>
          </wp:anchor>
        </w:drawing>
      </w:r>
    </w:p>
    <w:p w14:paraId="3DD64856" w14:textId="138B63FE" w:rsidR="008373FB" w:rsidRDefault="006E7AA4" w:rsidP="00985E12">
      <w:pPr>
        <w:spacing w:after="0"/>
        <w:jc w:val="both"/>
        <w:rPr>
          <w:rFonts w:ascii="Cambria" w:hAnsi="Cambria"/>
        </w:rPr>
      </w:pPr>
      <w:r>
        <w:rPr>
          <w:rFonts w:ascii="Cambria" w:hAnsi="Cambria"/>
          <w:b/>
          <w:smallCaps/>
          <w:noProof/>
          <w:sz w:val="24"/>
          <w:szCs w:val="24"/>
        </w:rPr>
        <w:drawing>
          <wp:inline distT="0" distB="0" distL="0" distR="0" wp14:anchorId="33EE56F7" wp14:editId="5414EEE8">
            <wp:extent cx="1534602" cy="389607"/>
            <wp:effectExtent l="0" t="0" r="0" b="0"/>
            <wp:docPr id="1602017564" name="Picture 7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7564" name="Picture 71" descr="Text&#10;&#10;AI-generated content may be incorrect."/>
                    <pic:cNvPicPr/>
                  </pic:nvPicPr>
                  <pic:blipFill rotWithShape="1">
                    <a:blip r:embed="rId13">
                      <a:extLst>
                        <a:ext uri="{28A0092B-C50C-407E-A947-70E740481C1C}">
                          <a14:useLocalDpi xmlns:a14="http://schemas.microsoft.com/office/drawing/2010/main" val="0"/>
                        </a:ext>
                      </a:extLst>
                    </a:blip>
                    <a:srcRect l="8507"/>
                    <a:stretch>
                      <a:fillRect/>
                    </a:stretch>
                  </pic:blipFill>
                  <pic:spPr bwMode="auto">
                    <a:xfrm>
                      <a:off x="0" y="0"/>
                      <a:ext cx="1534602" cy="389607"/>
                    </a:xfrm>
                    <a:prstGeom prst="rect">
                      <a:avLst/>
                    </a:prstGeom>
                    <a:ln>
                      <a:noFill/>
                    </a:ln>
                    <a:extLst>
                      <a:ext uri="{53640926-AAD7-44D8-BBD7-CCE9431645EC}">
                        <a14:shadowObscured xmlns:a14="http://schemas.microsoft.com/office/drawing/2010/main"/>
                      </a:ext>
                    </a:extLst>
                  </pic:spPr>
                </pic:pic>
              </a:graphicData>
            </a:graphic>
          </wp:inline>
        </w:drawing>
      </w:r>
    </w:p>
    <w:p w14:paraId="139A8280" w14:textId="0F8396C6" w:rsidR="00985E12" w:rsidRPr="0019237F" w:rsidRDefault="008373FB" w:rsidP="00985E12">
      <w:pPr>
        <w:spacing w:after="0"/>
        <w:jc w:val="both"/>
        <w:rPr>
          <w:rFonts w:ascii="Cambria" w:hAnsi="Cambria"/>
          <w:sz w:val="24"/>
          <w:szCs w:val="24"/>
        </w:rPr>
      </w:pPr>
      <w:r w:rsidRPr="0019237F">
        <w:rPr>
          <w:rFonts w:ascii="Cambria" w:hAnsi="Cambria"/>
          <w:sz w:val="24"/>
          <w:szCs w:val="24"/>
        </w:rPr>
        <w:t>Beth A. Williams</w:t>
      </w:r>
      <w:r w:rsidR="00985E12" w:rsidRPr="0019237F">
        <w:rPr>
          <w:rFonts w:ascii="Cambria" w:hAnsi="Cambria"/>
          <w:sz w:val="24"/>
          <w:szCs w:val="24"/>
        </w:rPr>
        <w:tab/>
      </w:r>
      <w:r w:rsidR="00985E12" w:rsidRPr="0019237F">
        <w:rPr>
          <w:rFonts w:ascii="Cambria" w:hAnsi="Cambria"/>
          <w:sz w:val="24"/>
          <w:szCs w:val="24"/>
        </w:rPr>
        <w:tab/>
      </w:r>
      <w:r w:rsidR="00985E12" w:rsidRPr="0019237F">
        <w:rPr>
          <w:rFonts w:ascii="Cambria" w:hAnsi="Cambria"/>
          <w:sz w:val="24"/>
          <w:szCs w:val="24"/>
        </w:rPr>
        <w:tab/>
      </w:r>
      <w:r w:rsidR="00985E12" w:rsidRPr="0019237F">
        <w:rPr>
          <w:rFonts w:ascii="Cambria" w:hAnsi="Cambria"/>
          <w:sz w:val="24"/>
          <w:szCs w:val="24"/>
        </w:rPr>
        <w:tab/>
      </w:r>
      <w:r w:rsidR="002345D3" w:rsidRPr="0019237F">
        <w:rPr>
          <w:rFonts w:ascii="Cambria" w:hAnsi="Cambria"/>
          <w:sz w:val="24"/>
          <w:szCs w:val="24"/>
        </w:rPr>
        <w:tab/>
      </w:r>
      <w:r w:rsidR="00985E12" w:rsidRPr="0019237F">
        <w:rPr>
          <w:rFonts w:ascii="Cambria" w:hAnsi="Cambria"/>
          <w:sz w:val="24"/>
          <w:szCs w:val="24"/>
        </w:rPr>
        <w:t>Raheel Baig</w:t>
      </w:r>
    </w:p>
    <w:p w14:paraId="66FACC0C" w14:textId="254C9D15" w:rsidR="006E7AA4" w:rsidRDefault="00985E12" w:rsidP="006E7AA4">
      <w:pPr>
        <w:spacing w:after="0"/>
        <w:ind w:left="5040" w:hanging="5040"/>
        <w:rPr>
          <w:rFonts w:ascii="Cambria" w:hAnsi="Cambria"/>
          <w:sz w:val="24"/>
          <w:szCs w:val="24"/>
        </w:rPr>
      </w:pPr>
      <w:r w:rsidRPr="0019237F">
        <w:rPr>
          <w:rFonts w:ascii="Cambria" w:hAnsi="Cambria"/>
          <w:sz w:val="24"/>
          <w:szCs w:val="24"/>
        </w:rPr>
        <w:t xml:space="preserve">Board </w:t>
      </w:r>
      <w:r w:rsidR="008373FB" w:rsidRPr="0019237F">
        <w:rPr>
          <w:rFonts w:ascii="Cambria" w:hAnsi="Cambria"/>
          <w:sz w:val="24"/>
          <w:szCs w:val="24"/>
        </w:rPr>
        <w:t>Member</w:t>
      </w:r>
      <w:r w:rsidR="006E7AA4">
        <w:rPr>
          <w:rFonts w:ascii="Cambria" w:hAnsi="Cambria"/>
          <w:sz w:val="24"/>
          <w:szCs w:val="24"/>
        </w:rPr>
        <w:tab/>
      </w:r>
      <w:r w:rsidR="004C48C9" w:rsidRPr="0019237F">
        <w:rPr>
          <w:rFonts w:ascii="Cambria" w:hAnsi="Cambria"/>
          <w:sz w:val="24"/>
          <w:szCs w:val="24"/>
        </w:rPr>
        <w:t xml:space="preserve">Deputy Executive Director </w:t>
      </w:r>
      <w:r w:rsidR="00AA113B">
        <w:rPr>
          <w:rFonts w:ascii="Cambria" w:hAnsi="Cambria"/>
          <w:sz w:val="24"/>
          <w:szCs w:val="24"/>
        </w:rPr>
        <w:t>for</w:t>
      </w:r>
      <w:r w:rsidR="006E7AA4">
        <w:rPr>
          <w:rFonts w:ascii="Cambria" w:hAnsi="Cambria"/>
          <w:sz w:val="24"/>
          <w:szCs w:val="24"/>
        </w:rPr>
        <w:t xml:space="preserve"> </w:t>
      </w:r>
      <w:r w:rsidR="006E7AA4" w:rsidRPr="0019237F">
        <w:rPr>
          <w:rFonts w:ascii="Cambria" w:hAnsi="Cambria"/>
          <w:sz w:val="24"/>
          <w:szCs w:val="24"/>
        </w:rPr>
        <w:t>Operations</w:t>
      </w:r>
    </w:p>
    <w:p w14:paraId="258B3697" w14:textId="63101BDC" w:rsidR="00985E12" w:rsidRPr="0019237F" w:rsidRDefault="004C48C9" w:rsidP="009C68C7">
      <w:pPr>
        <w:spacing w:after="0"/>
        <w:ind w:left="5040" w:hanging="5040"/>
        <w:rPr>
          <w:rFonts w:ascii="Cambria" w:hAnsi="Cambria"/>
          <w:sz w:val="24"/>
          <w:szCs w:val="24"/>
        </w:rPr>
        <w:sectPr w:rsidR="00985E12" w:rsidRPr="0019237F" w:rsidSect="00AC59B8">
          <w:headerReference w:type="default" r:id="rId89"/>
          <w:footnotePr>
            <w:pos w:val="beneathText"/>
          </w:footnotePr>
          <w:type w:val="continuous"/>
          <w:pgSz w:w="12240" w:h="15840"/>
          <w:pgMar w:top="1871" w:right="1440" w:bottom="1080" w:left="1440" w:header="450" w:footer="720" w:gutter="0"/>
          <w:cols w:space="720"/>
          <w:docGrid w:linePitch="360"/>
        </w:sectPr>
      </w:pPr>
      <w:r w:rsidRPr="0019237F">
        <w:rPr>
          <w:rFonts w:ascii="Cambria" w:hAnsi="Cambria"/>
          <w:sz w:val="24"/>
          <w:szCs w:val="24"/>
        </w:rPr>
        <w:t>November 1</w:t>
      </w:r>
      <w:r w:rsidR="00324620">
        <w:rPr>
          <w:rFonts w:ascii="Cambria" w:hAnsi="Cambria"/>
          <w:sz w:val="24"/>
          <w:szCs w:val="24"/>
        </w:rPr>
        <w:t>4</w:t>
      </w:r>
      <w:r w:rsidRPr="0019237F">
        <w:rPr>
          <w:rFonts w:ascii="Cambria" w:hAnsi="Cambria"/>
          <w:sz w:val="24"/>
          <w:szCs w:val="24"/>
        </w:rPr>
        <w:t xml:space="preserve">, </w:t>
      </w:r>
      <w:proofErr w:type="gramStart"/>
      <w:r w:rsidR="0049075B" w:rsidRPr="0019237F">
        <w:rPr>
          <w:rFonts w:ascii="Cambria" w:hAnsi="Cambria"/>
          <w:sz w:val="24"/>
          <w:szCs w:val="24"/>
        </w:rPr>
        <w:t>2025</w:t>
      </w:r>
      <w:proofErr w:type="gramEnd"/>
      <w:r w:rsidR="00985E12" w:rsidRPr="0019237F">
        <w:rPr>
          <w:rFonts w:ascii="Cambria" w:hAnsi="Cambria"/>
          <w:sz w:val="24"/>
          <w:szCs w:val="24"/>
        </w:rPr>
        <w:tab/>
        <w:t>November 1</w:t>
      </w:r>
      <w:r w:rsidR="00324620">
        <w:rPr>
          <w:rFonts w:ascii="Cambria" w:hAnsi="Cambria"/>
          <w:sz w:val="24"/>
          <w:szCs w:val="24"/>
        </w:rPr>
        <w:t>4</w:t>
      </w:r>
      <w:r w:rsidR="00985E12" w:rsidRPr="0019237F">
        <w:rPr>
          <w:rFonts w:ascii="Cambria" w:hAnsi="Cambria"/>
          <w:sz w:val="24"/>
          <w:szCs w:val="24"/>
        </w:rPr>
        <w:t xml:space="preserve">, </w:t>
      </w:r>
      <w:r w:rsidR="0049075B" w:rsidRPr="0019237F">
        <w:rPr>
          <w:rFonts w:ascii="Cambria" w:hAnsi="Cambria"/>
          <w:sz w:val="24"/>
          <w:szCs w:val="24"/>
        </w:rPr>
        <w:t>2025</w:t>
      </w:r>
      <w:bookmarkEnd w:id="92"/>
    </w:p>
    <w:p w14:paraId="02463D3E" w14:textId="34AD4042" w:rsidR="00A32CB7" w:rsidRPr="00A32CB7" w:rsidRDefault="000375EA" w:rsidP="00AA05E1">
      <w:pPr>
        <w:pStyle w:val="Heading2"/>
        <w:jc w:val="both"/>
      </w:pPr>
      <w:bookmarkStart w:id="96" w:name="_Toc213421241"/>
      <w:bookmarkEnd w:id="93"/>
      <w:r>
        <w:rPr>
          <w:noProof/>
        </w:rPr>
        <w:lastRenderedPageBreak/>
        <w:drawing>
          <wp:anchor distT="0" distB="0" distL="0" distR="0" simplePos="0" relativeHeight="251878912" behindDoc="0" locked="0" layoutInCell="1" allowOverlap="1" wp14:anchorId="0090D99A" wp14:editId="15084D0E">
            <wp:simplePos x="0" y="0"/>
            <wp:positionH relativeFrom="page">
              <wp:posOffset>898525</wp:posOffset>
            </wp:positionH>
            <wp:positionV relativeFrom="page">
              <wp:posOffset>1642745</wp:posOffset>
            </wp:positionV>
            <wp:extent cx="5906770" cy="1984375"/>
            <wp:effectExtent l="38100" t="38100" r="93980" b="92075"/>
            <wp:wrapTopAndBottom/>
            <wp:docPr id="62965102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51027" name="Picture 82"/>
                    <pic:cNvPicPr/>
                  </pic:nvPicPr>
                  <pic:blipFill>
                    <a:blip r:embed="rId90"/>
                    <a:stretch>
                      <a:fillRect/>
                    </a:stretch>
                  </pic:blipFill>
                  <pic:spPr>
                    <a:xfrm>
                      <a:off x="0" y="0"/>
                      <a:ext cx="5906770" cy="19843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54883">
        <w:rPr>
          <w:rFonts w:ascii="Calibri" w:hAnsi="Calibri"/>
          <w:noProof/>
        </w:rPr>
        <mc:AlternateContent>
          <mc:Choice Requires="wps">
            <w:drawing>
              <wp:anchor distT="0" distB="0" distL="114300" distR="114300" simplePos="0" relativeHeight="251892224" behindDoc="0" locked="0" layoutInCell="1" allowOverlap="1" wp14:anchorId="19577AF2" wp14:editId="7586F186">
                <wp:simplePos x="0" y="0"/>
                <wp:positionH relativeFrom="column">
                  <wp:posOffset>10235</wp:posOffset>
                </wp:positionH>
                <wp:positionV relativeFrom="page">
                  <wp:posOffset>3626485</wp:posOffset>
                </wp:positionV>
                <wp:extent cx="5943600" cy="209550"/>
                <wp:effectExtent l="0" t="0" r="0" b="0"/>
                <wp:wrapSquare wrapText="bothSides"/>
                <wp:docPr id="54247493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24D6B7B" w14:textId="7AC2E5AF" w:rsidR="00CC5FBA" w:rsidRPr="005430F9" w:rsidRDefault="00CC5FBA" w:rsidP="00AD7A93">
                            <w:pPr>
                              <w:ind w:left="-90"/>
                              <w:jc w:val="right"/>
                              <w:rPr>
                                <w:rFonts w:ascii="Cambria" w:hAnsi="Cambria"/>
                                <w:i/>
                                <w:iCs/>
                                <w:sz w:val="16"/>
                                <w:szCs w:val="16"/>
                              </w:rPr>
                            </w:pPr>
                            <w:r>
                              <w:rPr>
                                <w:rFonts w:ascii="Cambria" w:hAnsi="Cambria"/>
                                <w:i/>
                                <w:iCs/>
                                <w:sz w:val="16"/>
                                <w:szCs w:val="16"/>
                              </w:rPr>
                              <w:t xml:space="preserve">Photo credit: </w:t>
                            </w:r>
                            <w:proofErr w:type="spellStart"/>
                            <w:r w:rsidR="00254883">
                              <w:rPr>
                                <w:rFonts w:ascii="Cambria" w:hAnsi="Cambria"/>
                                <w:i/>
                                <w:iCs/>
                                <w:sz w:val="16"/>
                                <w:szCs w:val="16"/>
                              </w:rPr>
                              <w:t>Sarbinaz</w:t>
                            </w:r>
                            <w:proofErr w:type="spellEnd"/>
                            <w:r w:rsidR="00254883">
                              <w:rPr>
                                <w:rFonts w:ascii="Cambria" w:hAnsi="Cambria"/>
                                <w:i/>
                                <w:iCs/>
                                <w:sz w:val="16"/>
                                <w:szCs w:val="16"/>
                              </w:rPr>
                              <w:t xml:space="preserve"> Mustafina </w:t>
                            </w:r>
                            <w:r>
                              <w:rPr>
                                <w:rFonts w:ascii="Cambria" w:hAnsi="Cambria"/>
                                <w:i/>
                                <w:iCs/>
                                <w:sz w:val="16"/>
                                <w:szCs w:val="16"/>
                              </w:rPr>
                              <w:t xml:space="preserve">via </w:t>
                            </w:r>
                            <w:r w:rsidR="00254883">
                              <w:rPr>
                                <w:rFonts w:ascii="Cambria" w:hAnsi="Cambria"/>
                                <w:i/>
                                <w:iCs/>
                                <w:sz w:val="16"/>
                                <w:szCs w:val="16"/>
                              </w:rPr>
                              <w:t>Adobe Stock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77AF2" id="_x0000_s1038" type="#_x0000_t202" style="position:absolute;left:0;text-align:left;margin-left:.8pt;margin-top:285.55pt;width:468pt;height:16.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" filled="f" stroked="f" strokeweight="1pt">
                <v:textbox>
                  <w:txbxContent>
                    <w:p w14:paraId="424D6B7B" w14:textId="7AC2E5AF" w:rsidR="00CC5FBA" w:rsidRPr="005430F9" w:rsidRDefault="00CC5FBA" w:rsidP="00AD7A93">
                      <w:pPr>
                        <w:ind w:left="-90"/>
                        <w:jc w:val="right"/>
                        <w:rPr>
                          <w:rFonts w:ascii="Cambria" w:hAnsi="Cambria"/>
                          <w:i/>
                          <w:iCs/>
                          <w:sz w:val="16"/>
                          <w:szCs w:val="16"/>
                        </w:rPr>
                      </w:pPr>
                      <w:r>
                        <w:rPr>
                          <w:rFonts w:ascii="Cambria" w:hAnsi="Cambria"/>
                          <w:i/>
                          <w:iCs/>
                          <w:sz w:val="16"/>
                          <w:szCs w:val="16"/>
                        </w:rPr>
                        <w:t xml:space="preserve">Photo credit: </w:t>
                      </w:r>
                      <w:proofErr w:type="spellStart"/>
                      <w:r w:rsidR="00254883">
                        <w:rPr>
                          <w:rFonts w:ascii="Cambria" w:hAnsi="Cambria"/>
                          <w:i/>
                          <w:iCs/>
                          <w:sz w:val="16"/>
                          <w:szCs w:val="16"/>
                        </w:rPr>
                        <w:t>Sarbinaz</w:t>
                      </w:r>
                      <w:proofErr w:type="spellEnd"/>
                      <w:r w:rsidR="00254883">
                        <w:rPr>
                          <w:rFonts w:ascii="Cambria" w:hAnsi="Cambria"/>
                          <w:i/>
                          <w:iCs/>
                          <w:sz w:val="16"/>
                          <w:szCs w:val="16"/>
                        </w:rPr>
                        <w:t xml:space="preserve"> Mustafina </w:t>
                      </w:r>
                      <w:r>
                        <w:rPr>
                          <w:rFonts w:ascii="Cambria" w:hAnsi="Cambria"/>
                          <w:i/>
                          <w:iCs/>
                          <w:sz w:val="16"/>
                          <w:szCs w:val="16"/>
                        </w:rPr>
                        <w:t xml:space="preserve">via </w:t>
                      </w:r>
                      <w:r w:rsidR="00254883">
                        <w:rPr>
                          <w:rFonts w:ascii="Cambria" w:hAnsi="Cambria"/>
                          <w:i/>
                          <w:iCs/>
                          <w:sz w:val="16"/>
                          <w:szCs w:val="16"/>
                        </w:rPr>
                        <w:t>Adobe Stock</w:t>
                      </w:r>
                    </w:p>
                  </w:txbxContent>
                </v:textbox>
                <w10:wrap type="square" anchory="page"/>
              </v:shape>
            </w:pict>
          </mc:Fallback>
        </mc:AlternateContent>
      </w:r>
      <w:r w:rsidR="00A32CB7" w:rsidRPr="00A32CB7">
        <w:t>Analysis of Systems, Controls, and Legal Compliance</w:t>
      </w:r>
      <w:bookmarkEnd w:id="94"/>
      <w:bookmarkEnd w:id="95"/>
      <w:bookmarkEnd w:id="96"/>
      <w:r w:rsidR="00A32CB7" w:rsidRPr="00A32CB7">
        <w:t xml:space="preserve"> </w:t>
      </w:r>
    </w:p>
    <w:p w14:paraId="5BA81397" w14:textId="10365A3E" w:rsidR="00A32CB7" w:rsidRPr="000C50CC" w:rsidRDefault="00A32CB7" w:rsidP="00392AED">
      <w:pPr>
        <w:pStyle w:val="CambriaNormal"/>
        <w:spacing w:before="0" w:line="276" w:lineRule="auto"/>
      </w:pPr>
      <w:r w:rsidRPr="000C50CC">
        <w:t xml:space="preserve">This section </w:t>
      </w:r>
      <w:r>
        <w:t>presents the financial management system framework and strategy</w:t>
      </w:r>
      <w:r w:rsidR="00BC6A54">
        <w:t>;</w:t>
      </w:r>
      <w:r>
        <w:t xml:space="preserve"> addresses</w:t>
      </w:r>
      <w:r w:rsidRPr="000C50CC">
        <w:t xml:space="preserve"> PCLOB’s compliance </w:t>
      </w:r>
      <w:r w:rsidR="00BC6A54">
        <w:t xml:space="preserve">with </w:t>
      </w:r>
      <w:r w:rsidR="00D877A2">
        <w:t>FMFIA</w:t>
      </w:r>
      <w:r w:rsidR="00BC6A54">
        <w:t xml:space="preserve"> and </w:t>
      </w:r>
      <w:r w:rsidRPr="000C50CC">
        <w:t>other applicable laws</w:t>
      </w:r>
      <w:r w:rsidR="00BC6A54">
        <w:t>;</w:t>
      </w:r>
      <w:r w:rsidRPr="000C50CC">
        <w:t xml:space="preserve"> and </w:t>
      </w:r>
      <w:r>
        <w:t>provides the required management assurance statements, including addressing any key internal control issues.</w:t>
      </w:r>
    </w:p>
    <w:p w14:paraId="20ADD676" w14:textId="3AC44400" w:rsidR="00EF54B4" w:rsidRPr="00DF5520" w:rsidRDefault="00EF54B4" w:rsidP="00EF54B4">
      <w:pPr>
        <w:pStyle w:val="CambriaNormal"/>
        <w:spacing w:line="276" w:lineRule="auto"/>
        <w:rPr>
          <w:b/>
          <w:bCs/>
          <w:u w:val="single"/>
        </w:rPr>
      </w:pPr>
      <w:r w:rsidRPr="00DF5520">
        <w:rPr>
          <w:b/>
          <w:bCs/>
          <w:u w:val="single"/>
        </w:rPr>
        <w:t>Federal Managers’ Financial Integrity Act</w:t>
      </w:r>
      <w:r>
        <w:rPr>
          <w:b/>
          <w:bCs/>
          <w:u w:val="single"/>
        </w:rPr>
        <w:t xml:space="preserve"> of 1982</w:t>
      </w:r>
    </w:p>
    <w:p w14:paraId="4809321A" w14:textId="70DDCDDA" w:rsidR="00EF54B4" w:rsidRPr="00DF5520" w:rsidRDefault="00EF54B4" w:rsidP="00EF54B4">
      <w:pPr>
        <w:pStyle w:val="CambriaNormal"/>
        <w:spacing w:line="276" w:lineRule="auto"/>
      </w:pPr>
      <w:r w:rsidRPr="00DF5520">
        <w:t xml:space="preserve">FMFIA mandates that agencies establish effective internal control to provide reasonable assurance that (1) obligations and costs are in compliance with applicable law; (2) funds, property, and other assets are safeguarded against waste, loss, unauthorized use, or misappropriation; and (3) revenues and expenditures applicable to agency operations are properly recorded and accounted for to permit the preparation of accounts and reliable financial and statistical reports and to maintain accountability over the assets. </w:t>
      </w:r>
    </w:p>
    <w:p w14:paraId="23D3E2FE" w14:textId="1C0BECF4" w:rsidR="00EF54B4" w:rsidRPr="00DF5520" w:rsidRDefault="00EF54B4" w:rsidP="00EF54B4">
      <w:pPr>
        <w:pStyle w:val="CambriaNormal"/>
        <w:spacing w:line="276" w:lineRule="auto"/>
      </w:pPr>
      <w:r w:rsidRPr="00DF5520">
        <w:t xml:space="preserve">FMFIA requires agencies to establish accounting and administrative controls over program, operational, and administrative functions, in addition to accounting and financial management. FMFIA also requires standards to ensure the prompt resolution of all audit findings and mandates for agency heads to annually evaluate agency controls and provide an assurance statement on the adequacy of internal and administrative controls (Section 2) and conformance of systems with government-wide standards (Section 4). </w:t>
      </w:r>
    </w:p>
    <w:p w14:paraId="12B7F20F" w14:textId="1030B120" w:rsidR="00EF54B4" w:rsidRDefault="00EF54B4" w:rsidP="00EF54B4">
      <w:pPr>
        <w:pStyle w:val="CambriaNormal"/>
        <w:spacing w:before="0" w:line="276" w:lineRule="auto"/>
      </w:pPr>
      <w:r w:rsidRPr="00DF5520">
        <w:t xml:space="preserve">The FMFIA FY </w:t>
      </w:r>
      <w:r w:rsidR="0049075B">
        <w:t>2025</w:t>
      </w:r>
      <w:r w:rsidRPr="00DF5520">
        <w:t xml:space="preserve"> Management Assurance Statement, included </w:t>
      </w:r>
      <w:r w:rsidR="00C915FF">
        <w:t>earlier</w:t>
      </w:r>
      <w:r w:rsidR="00C915FF" w:rsidRPr="00DF5520">
        <w:t xml:space="preserve"> </w:t>
      </w:r>
      <w:r w:rsidRPr="00DF5520">
        <w:t xml:space="preserve">in this section, is consistent with the FY </w:t>
      </w:r>
      <w:r w:rsidR="0049075B">
        <w:t>2025</w:t>
      </w:r>
      <w:r w:rsidRPr="00DF5520">
        <w:t xml:space="preserve"> financial statement audit report, included in the Financial </w:t>
      </w:r>
      <w:r w:rsidR="00502B1A">
        <w:t>S</w:t>
      </w:r>
      <w:r w:rsidRPr="00DF5520">
        <w:t>ection</w:t>
      </w:r>
      <w:r w:rsidR="00502B1A">
        <w:t xml:space="preserve"> of this report</w:t>
      </w:r>
      <w:r w:rsidRPr="00DF5520">
        <w:t>.</w:t>
      </w:r>
    </w:p>
    <w:p w14:paraId="35CDDD60" w14:textId="3A0038E0" w:rsidR="00EF54B4" w:rsidRDefault="00EF54B4" w:rsidP="00EF54B4">
      <w:pPr>
        <w:pStyle w:val="CambriaNormal"/>
        <w:spacing w:before="0" w:line="276" w:lineRule="auto"/>
      </w:pPr>
      <w:r w:rsidRPr="005206B4">
        <w:t>PCLOB depends on the integrity of ARC’s systems to provide reliable data. ARC, in turn, places a high level of emphasis on maintaining adequate management controls</w:t>
      </w:r>
      <w:r w:rsidR="00DE75C3">
        <w:t xml:space="preserve"> and is</w:t>
      </w:r>
      <w:r w:rsidRPr="005206B4">
        <w:t xml:space="preserve"> responsible for meeting the objectives of Section 2 and Section 4 of FMFIA and the Reports Consolidation Act of 2000. ARC annually evaluates both its management controls and </w:t>
      </w:r>
      <w:r w:rsidRPr="005206B4">
        <w:lastRenderedPageBreak/>
        <w:t xml:space="preserve">information systems. </w:t>
      </w:r>
      <w:r>
        <w:t>Periodic</w:t>
      </w:r>
      <w:r w:rsidRPr="005206B4">
        <w:t xml:space="preserve"> audits of the mainframe system</w:t>
      </w:r>
      <w:r w:rsidR="00C023CE">
        <w:t xml:space="preserve"> and </w:t>
      </w:r>
      <w:r w:rsidRPr="005206B4">
        <w:t xml:space="preserve">annual issuance of Statement on Standards for Attestation Engagements Service Organization Control Type II reports are regularly performed by </w:t>
      </w:r>
      <w:r w:rsidR="005131D9">
        <w:t xml:space="preserve">an </w:t>
      </w:r>
      <w:r w:rsidR="00AC2CAE" w:rsidRPr="00AC2CAE">
        <w:t xml:space="preserve">independent auditor under contract with </w:t>
      </w:r>
      <w:r w:rsidRPr="005206B4">
        <w:t>ARC to ensure the management controls systems and financial management systems are in overall compliance with prescribed standards.</w:t>
      </w:r>
    </w:p>
    <w:p w14:paraId="35B280FF" w14:textId="11440635" w:rsidR="00EF54B4" w:rsidRPr="00DF5520" w:rsidRDefault="00EF54B4" w:rsidP="00BD19DA">
      <w:pPr>
        <w:pStyle w:val="CambriaNormal"/>
        <w:keepNext/>
        <w:keepLines/>
        <w:spacing w:before="0" w:line="276" w:lineRule="auto"/>
        <w:rPr>
          <w:b/>
          <w:bCs/>
          <w:u w:val="single"/>
        </w:rPr>
      </w:pPr>
      <w:r w:rsidRPr="00DF5520">
        <w:rPr>
          <w:b/>
          <w:bCs/>
          <w:u w:val="single"/>
        </w:rPr>
        <w:t xml:space="preserve">Enterprise Risk Management, Internal Controls System, and Implementation of </w:t>
      </w:r>
      <w:r w:rsidR="00254883">
        <w:rPr>
          <w:b/>
          <w:bCs/>
          <w:u w:val="single"/>
        </w:rPr>
        <w:t xml:space="preserve">the </w:t>
      </w:r>
      <w:r w:rsidRPr="00DF5520">
        <w:rPr>
          <w:b/>
          <w:bCs/>
          <w:u w:val="single"/>
        </w:rPr>
        <w:t>Federal Managers’ Financial Integrity Act</w:t>
      </w:r>
    </w:p>
    <w:p w14:paraId="5FA6C662" w14:textId="373A62EA" w:rsidR="000058A7" w:rsidRPr="000058A7" w:rsidRDefault="000058A7" w:rsidP="0019237F">
      <w:pPr>
        <w:jc w:val="both"/>
        <w:rPr>
          <w:rFonts w:ascii="Cambria" w:hAnsi="Cambria"/>
          <w:sz w:val="24"/>
          <w:szCs w:val="24"/>
        </w:rPr>
      </w:pPr>
      <w:r w:rsidRPr="0019237F">
        <w:rPr>
          <w:rFonts w:ascii="Cambria" w:hAnsi="Cambria"/>
          <w:sz w:val="24"/>
          <w:szCs w:val="24"/>
        </w:rPr>
        <w:t xml:space="preserve">FMFIA provides that GAO establish internal control standards, which are contained in GAO’s Standards for Internal Control in the Federal Government. FMFIA also provides that OMB </w:t>
      </w:r>
      <w:proofErr w:type="gramStart"/>
      <w:r w:rsidRPr="0019237F">
        <w:rPr>
          <w:rFonts w:ascii="Cambria" w:hAnsi="Cambria"/>
          <w:sz w:val="24"/>
          <w:szCs w:val="24"/>
        </w:rPr>
        <w:t>establish</w:t>
      </w:r>
      <w:proofErr w:type="gramEnd"/>
      <w:r w:rsidRPr="0019237F">
        <w:rPr>
          <w:rFonts w:ascii="Cambria" w:hAnsi="Cambria"/>
          <w:sz w:val="24"/>
          <w:szCs w:val="24"/>
        </w:rPr>
        <w:t xml:space="preserve"> the implementation requirements for the assessment and annual reporting on internal controls, which are included in Circular A-123, </w:t>
      </w:r>
      <w:r w:rsidRPr="0019237F">
        <w:rPr>
          <w:rFonts w:ascii="Cambria" w:hAnsi="Cambria"/>
          <w:i/>
          <w:iCs/>
          <w:sz w:val="24"/>
          <w:szCs w:val="24"/>
        </w:rPr>
        <w:t>Management’s Responsibility for Enterprise Risk Management and Internal Control</w:t>
      </w:r>
      <w:r w:rsidRPr="0019237F">
        <w:rPr>
          <w:rFonts w:ascii="Cambria" w:hAnsi="Cambria"/>
          <w:sz w:val="24"/>
          <w:szCs w:val="24"/>
        </w:rPr>
        <w:t>. The GAO standards and OMB’s implementation requirements work in tandem to guide PCLOB’s internal control program required by FMFIA.</w:t>
      </w:r>
    </w:p>
    <w:p w14:paraId="1C0B774D" w14:textId="4EB61E0E" w:rsidR="00EF54B4" w:rsidRPr="00DF5520" w:rsidRDefault="000058A7" w:rsidP="00BD19DA">
      <w:pPr>
        <w:keepNext/>
        <w:keepLines/>
        <w:spacing w:line="276" w:lineRule="auto"/>
        <w:jc w:val="both"/>
        <w:rPr>
          <w:rFonts w:ascii="Cambria" w:hAnsi="Cambria"/>
          <w:sz w:val="24"/>
          <w:szCs w:val="24"/>
        </w:rPr>
      </w:pPr>
      <w:r>
        <w:rPr>
          <w:rFonts w:ascii="Cambria" w:hAnsi="Cambria"/>
          <w:sz w:val="24"/>
          <w:szCs w:val="24"/>
        </w:rPr>
        <w:t>T</w:t>
      </w:r>
      <w:r w:rsidR="00EF54B4" w:rsidRPr="00DF5520">
        <w:rPr>
          <w:rFonts w:ascii="Cambria" w:hAnsi="Cambria"/>
          <w:sz w:val="24"/>
          <w:szCs w:val="24"/>
        </w:rPr>
        <w:t>he agency’s Internal Controls Framework (ICF) Manual</w:t>
      </w:r>
      <w:r>
        <w:rPr>
          <w:rFonts w:ascii="Cambria" w:hAnsi="Cambria"/>
          <w:sz w:val="24"/>
          <w:szCs w:val="24"/>
        </w:rPr>
        <w:t xml:space="preserve"> was</w:t>
      </w:r>
      <w:r w:rsidR="00EF54B4" w:rsidRPr="00DF5520">
        <w:rPr>
          <w:rFonts w:ascii="Cambria" w:hAnsi="Cambria"/>
          <w:sz w:val="24"/>
          <w:szCs w:val="24"/>
        </w:rPr>
        <w:t xml:space="preserve"> issued in 2019 and updated in </w:t>
      </w:r>
      <w:r w:rsidR="00EF54B4" w:rsidRPr="00A22E8F">
        <w:rPr>
          <w:rFonts w:ascii="Cambria" w:hAnsi="Cambria"/>
          <w:sz w:val="24"/>
          <w:szCs w:val="24"/>
        </w:rPr>
        <w:t xml:space="preserve">April </w:t>
      </w:r>
      <w:r w:rsidR="00EF54B4" w:rsidRPr="00182D44">
        <w:rPr>
          <w:rFonts w:ascii="Cambria" w:hAnsi="Cambria"/>
          <w:sz w:val="24"/>
          <w:szCs w:val="24"/>
        </w:rPr>
        <w:t>2023</w:t>
      </w:r>
      <w:r w:rsidR="00EF54B4" w:rsidRPr="00A22E8F">
        <w:rPr>
          <w:rFonts w:ascii="Cambria" w:hAnsi="Cambria"/>
          <w:sz w:val="24"/>
          <w:szCs w:val="24"/>
        </w:rPr>
        <w:t xml:space="preserve"> with</w:t>
      </w:r>
      <w:r w:rsidR="00EF54B4" w:rsidRPr="00DF5520">
        <w:rPr>
          <w:rFonts w:ascii="Cambria" w:hAnsi="Cambria"/>
          <w:sz w:val="24"/>
          <w:szCs w:val="24"/>
        </w:rPr>
        <w:t xml:space="preserve"> the goal of ensuring sound financial and non-financial risk management while accounting for PCLOB’s small size and limited resources. The ICF Manual sets out the agency’s oversight role and strategic decision-making over enterprise risk management and policies and procedures for establishing, assessing, correcting, and reporting on internal control.</w:t>
      </w:r>
    </w:p>
    <w:p w14:paraId="7EEC9571" w14:textId="7321D697" w:rsidR="00EF54B4" w:rsidRPr="00DF5520" w:rsidRDefault="00EF54B4" w:rsidP="00EF54B4">
      <w:pPr>
        <w:spacing w:line="276" w:lineRule="auto"/>
        <w:jc w:val="both"/>
        <w:rPr>
          <w:rFonts w:ascii="Cambria" w:hAnsi="Cambria"/>
          <w:sz w:val="24"/>
          <w:szCs w:val="24"/>
        </w:rPr>
      </w:pPr>
      <w:r w:rsidRPr="00DF5520">
        <w:rPr>
          <w:rFonts w:ascii="Cambria" w:hAnsi="Cambria"/>
          <w:sz w:val="24"/>
          <w:szCs w:val="24"/>
        </w:rPr>
        <w:t>To ensure the agency continues to maintain a robust internal control framework and meet</w:t>
      </w:r>
      <w:r w:rsidR="00E17347">
        <w:rPr>
          <w:rFonts w:ascii="Cambria" w:hAnsi="Cambria"/>
          <w:sz w:val="24"/>
          <w:szCs w:val="24"/>
        </w:rPr>
        <w:t xml:space="preserve"> </w:t>
      </w:r>
      <w:r w:rsidRPr="00DF5520">
        <w:rPr>
          <w:rFonts w:ascii="Cambria" w:hAnsi="Cambria"/>
          <w:sz w:val="24"/>
          <w:szCs w:val="24"/>
        </w:rPr>
        <w:t>the guidelines established in the ICF Manual despite its small size, PCLOB outsources with an independent contractor to provide internal controls support services, such as risk assessment, testing, and remediation, with oversight from the C</w:t>
      </w:r>
      <w:r w:rsidR="00254883">
        <w:rPr>
          <w:rFonts w:ascii="Cambria" w:hAnsi="Cambria"/>
          <w:sz w:val="24"/>
          <w:szCs w:val="24"/>
        </w:rPr>
        <w:t>FO</w:t>
      </w:r>
      <w:r w:rsidRPr="00DF5520">
        <w:rPr>
          <w:rFonts w:ascii="Cambria" w:hAnsi="Cambria"/>
          <w:sz w:val="24"/>
          <w:szCs w:val="24"/>
        </w:rPr>
        <w:t xml:space="preserve">. </w:t>
      </w:r>
    </w:p>
    <w:p w14:paraId="552E1366" w14:textId="7802B76A" w:rsidR="00EF54B4" w:rsidRPr="00DF5520" w:rsidRDefault="000375EA" w:rsidP="00392AED">
      <w:pPr>
        <w:spacing w:line="276" w:lineRule="auto"/>
        <w:jc w:val="both"/>
        <w:rPr>
          <w:rFonts w:ascii="Cambria" w:hAnsi="Cambria"/>
          <w:sz w:val="24"/>
          <w:szCs w:val="24"/>
        </w:rPr>
      </w:pPr>
      <w:r>
        <w:rPr>
          <w:rFonts w:ascii="Cambria" w:hAnsi="Cambria"/>
          <w:noProof/>
          <w:sz w:val="24"/>
          <w:szCs w:val="24"/>
        </w:rPr>
        <w:drawing>
          <wp:anchor distT="0" distB="0" distL="114300" distR="114300" simplePos="0" relativeHeight="252227072" behindDoc="0" locked="0" layoutInCell="1" allowOverlap="1" wp14:anchorId="566E2B7D" wp14:editId="0CE450C2">
            <wp:simplePos x="0" y="0"/>
            <wp:positionH relativeFrom="column">
              <wp:posOffset>2450465</wp:posOffset>
            </wp:positionH>
            <wp:positionV relativeFrom="page">
              <wp:posOffset>6789420</wp:posOffset>
            </wp:positionV>
            <wp:extent cx="3491230" cy="2330450"/>
            <wp:effectExtent l="57150" t="57150" r="90170" b="88900"/>
            <wp:wrapSquare wrapText="bothSides"/>
            <wp:docPr id="20865834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83421" name="Picture 69"/>
                    <pic:cNvPicPr/>
                  </pic:nvPicPr>
                  <pic:blipFill>
                    <a:blip r:embed="rId91"/>
                    <a:stretch>
                      <a:fillRect/>
                    </a:stretch>
                  </pic:blipFill>
                  <pic:spPr>
                    <a:xfrm>
                      <a:off x="0" y="0"/>
                      <a:ext cx="3491230" cy="2330450"/>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26254">
        <w:rPr>
          <w:rFonts w:ascii="Calibri" w:hAnsi="Calibri"/>
          <w:noProof/>
        </w:rPr>
        <mc:AlternateContent>
          <mc:Choice Requires="wps">
            <w:drawing>
              <wp:anchor distT="0" distB="0" distL="114300" distR="114300" simplePos="0" relativeHeight="252229120" behindDoc="0" locked="0" layoutInCell="1" allowOverlap="1" wp14:anchorId="4FD00D98" wp14:editId="1B434656">
                <wp:simplePos x="0" y="0"/>
                <wp:positionH relativeFrom="column">
                  <wp:posOffset>2449195</wp:posOffset>
                </wp:positionH>
                <wp:positionV relativeFrom="page">
                  <wp:posOffset>9121775</wp:posOffset>
                </wp:positionV>
                <wp:extent cx="3567430" cy="209550"/>
                <wp:effectExtent l="0" t="0" r="0" b="0"/>
                <wp:wrapSquare wrapText="bothSides"/>
                <wp:docPr id="203761522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515BF96" w14:textId="06953C23" w:rsidR="00826254" w:rsidRPr="005430F9" w:rsidRDefault="00826254" w:rsidP="00826254">
                            <w:pPr>
                              <w:ind w:left="-90"/>
                              <w:jc w:val="right"/>
                              <w:rPr>
                                <w:rFonts w:ascii="Cambria" w:hAnsi="Cambria"/>
                                <w:i/>
                                <w:iCs/>
                                <w:sz w:val="16"/>
                                <w:szCs w:val="16"/>
                              </w:rPr>
                            </w:pPr>
                            <w:r>
                              <w:rPr>
                                <w:rFonts w:ascii="Cambria" w:hAnsi="Cambria"/>
                                <w:i/>
                                <w:iCs/>
                                <w:sz w:val="16"/>
                                <w:szCs w:val="16"/>
                              </w:rPr>
                              <w:t>Photo credit: Orhan Cam via Adobe Stock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00D98" id="_x0000_s1039" type="#_x0000_t202" style="position:absolute;left:0;text-align:left;margin-left:192.85pt;margin-top:718.25pt;width:280.9pt;height:16.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" filled="f" stroked="f" strokeweight="1pt">
                <v:textbox>
                  <w:txbxContent>
                    <w:p w14:paraId="3515BF96" w14:textId="06953C23" w:rsidR="00826254" w:rsidRPr="005430F9" w:rsidRDefault="00826254" w:rsidP="00826254">
                      <w:pPr>
                        <w:ind w:left="-90"/>
                        <w:jc w:val="right"/>
                        <w:rPr>
                          <w:rFonts w:ascii="Cambria" w:hAnsi="Cambria"/>
                          <w:i/>
                          <w:iCs/>
                          <w:sz w:val="16"/>
                          <w:szCs w:val="16"/>
                        </w:rPr>
                      </w:pPr>
                      <w:r>
                        <w:rPr>
                          <w:rFonts w:ascii="Cambria" w:hAnsi="Cambria"/>
                          <w:i/>
                          <w:iCs/>
                          <w:sz w:val="16"/>
                          <w:szCs w:val="16"/>
                        </w:rPr>
                        <w:t>Photo credit: Orhan Cam via Adobe Stock</w:t>
                      </w:r>
                    </w:p>
                  </w:txbxContent>
                </v:textbox>
                <w10:wrap type="square" anchory="page"/>
              </v:shape>
            </w:pict>
          </mc:Fallback>
        </mc:AlternateContent>
      </w:r>
      <w:r w:rsidR="00EF54B4" w:rsidRPr="00DF5520">
        <w:rPr>
          <w:rFonts w:ascii="Cambria" w:hAnsi="Cambria"/>
          <w:sz w:val="24"/>
          <w:szCs w:val="24"/>
        </w:rPr>
        <w:t xml:space="preserve">In FY </w:t>
      </w:r>
      <w:r w:rsidR="0049075B">
        <w:rPr>
          <w:rFonts w:ascii="Cambria" w:hAnsi="Cambria"/>
          <w:sz w:val="24"/>
          <w:szCs w:val="24"/>
        </w:rPr>
        <w:t>2025</w:t>
      </w:r>
      <w:r w:rsidR="00EF54B4" w:rsidRPr="00DF5520">
        <w:rPr>
          <w:rFonts w:ascii="Cambria" w:hAnsi="Cambria"/>
          <w:sz w:val="24"/>
          <w:szCs w:val="24"/>
        </w:rPr>
        <w:t xml:space="preserve">, the Internal Controls Team conducted a comprehensive risk assessment to identify agency risks and rate the likelihood and impact of each risk. The Internal Controls Team also updated key controls to address </w:t>
      </w:r>
      <w:r w:rsidR="00AC3F78" w:rsidRPr="00DF5520">
        <w:rPr>
          <w:rFonts w:ascii="Cambria" w:hAnsi="Cambria"/>
          <w:sz w:val="24"/>
          <w:szCs w:val="24"/>
        </w:rPr>
        <w:t>risks</w:t>
      </w:r>
      <w:r w:rsidR="00AC3F78">
        <w:rPr>
          <w:rFonts w:ascii="Cambria" w:hAnsi="Cambria"/>
          <w:sz w:val="24"/>
          <w:szCs w:val="24"/>
        </w:rPr>
        <w:t xml:space="preserve"> and</w:t>
      </w:r>
      <w:r w:rsidR="00EF54B4" w:rsidRPr="00DF5520">
        <w:rPr>
          <w:rFonts w:ascii="Cambria" w:hAnsi="Cambria"/>
          <w:sz w:val="24"/>
          <w:szCs w:val="24"/>
        </w:rPr>
        <w:t xml:space="preserve"> assessed the design and operating effectiveness of these controls through detailed test procedures over all financial processes. No deficiencies were identified, and PCLOB’s</w:t>
      </w:r>
      <w:r w:rsidR="00EF54B4" w:rsidRPr="00DF5520" w:rsidDel="002641F7">
        <w:rPr>
          <w:rFonts w:ascii="Cambria" w:hAnsi="Cambria"/>
          <w:sz w:val="24"/>
          <w:szCs w:val="24"/>
        </w:rPr>
        <w:t xml:space="preserve"> </w:t>
      </w:r>
      <w:r w:rsidR="00EF54B4" w:rsidRPr="00DF5520">
        <w:rPr>
          <w:rFonts w:ascii="Cambria" w:hAnsi="Cambria"/>
          <w:sz w:val="24"/>
          <w:szCs w:val="24"/>
        </w:rPr>
        <w:t>internal controls were found to be operating effectively.</w:t>
      </w:r>
    </w:p>
    <w:p w14:paraId="5F5F9ABF" w14:textId="3B99233D" w:rsidR="00EF54B4" w:rsidRDefault="00EF54B4" w:rsidP="00392AED">
      <w:pPr>
        <w:pStyle w:val="CambriaNormal"/>
        <w:rPr>
          <w:b/>
          <w:bCs/>
          <w:u w:val="single"/>
        </w:rPr>
      </w:pPr>
      <w:r>
        <w:rPr>
          <w:b/>
          <w:bCs/>
          <w:u w:val="single"/>
        </w:rPr>
        <w:lastRenderedPageBreak/>
        <w:t xml:space="preserve">Other Compliance </w:t>
      </w:r>
      <w:r w:rsidR="007477C5">
        <w:rPr>
          <w:b/>
          <w:bCs/>
          <w:u w:val="single"/>
        </w:rPr>
        <w:t>w</w:t>
      </w:r>
      <w:r>
        <w:rPr>
          <w:b/>
          <w:bCs/>
          <w:u w:val="single"/>
        </w:rPr>
        <w:t>ith Laws and Regulations</w:t>
      </w:r>
    </w:p>
    <w:p w14:paraId="45CEFC3F" w14:textId="4FC5E67B" w:rsidR="007D4548" w:rsidRPr="000C50CC" w:rsidRDefault="007D4548" w:rsidP="00BC03F5">
      <w:pPr>
        <w:pStyle w:val="CambriaNormal"/>
        <w:keepNext/>
        <w:keepLines/>
        <w:numPr>
          <w:ilvl w:val="0"/>
          <w:numId w:val="51"/>
        </w:numPr>
        <w:spacing w:line="276" w:lineRule="auto"/>
        <w:rPr>
          <w:b/>
          <w:bCs/>
          <w:u w:val="single"/>
        </w:rPr>
      </w:pPr>
      <w:r w:rsidRPr="000C50CC">
        <w:rPr>
          <w:b/>
          <w:bCs/>
          <w:u w:val="single"/>
        </w:rPr>
        <w:t>Federal Information Security Modernization Act</w:t>
      </w:r>
    </w:p>
    <w:p w14:paraId="30AFE0EB" w14:textId="5B20C194" w:rsidR="007D4548" w:rsidRPr="000C50CC" w:rsidRDefault="007D4548" w:rsidP="00BC03F5">
      <w:pPr>
        <w:pStyle w:val="CambriaNormal"/>
        <w:keepNext/>
        <w:keepLines/>
        <w:spacing w:line="276" w:lineRule="auto"/>
        <w:ind w:left="720"/>
      </w:pPr>
      <w:r w:rsidRPr="000C50CC">
        <w:t xml:space="preserve">FISMA requires federal agencies to “develop, document, and implement an agency-wide information security program to provide information security for the information and information systems that support the operations and assets of the agency, including those provided or managed by another agency, contractor, or other source.” In addition, FISMA requires federal agencies to conduct annual assessments of their information security and privacy programs, to develop and implement remediation efforts for identified weaknesses and vulnerabilities, and to report compliance to OMB. </w:t>
      </w:r>
      <w:r>
        <w:t>PCLOB</w:t>
      </w:r>
      <w:r w:rsidRPr="000C50CC">
        <w:t>’s</w:t>
      </w:r>
      <w:r w:rsidRPr="000C50CC" w:rsidDel="002641F7">
        <w:t xml:space="preserve"> </w:t>
      </w:r>
      <w:r w:rsidRPr="000C50CC">
        <w:t xml:space="preserve">Office of </w:t>
      </w:r>
      <w:r>
        <w:t xml:space="preserve">the </w:t>
      </w:r>
      <w:r w:rsidRPr="000C50CC">
        <w:t xml:space="preserve">Chief Information Officer performs a review of </w:t>
      </w:r>
      <w:r>
        <w:t>the agency’s</w:t>
      </w:r>
      <w:r w:rsidRPr="000C50CC">
        <w:t xml:space="preserve"> compliance with FISMA requirements each year. </w:t>
      </w:r>
      <w:r w:rsidR="00253DBD" w:rsidRPr="00253DBD">
        <w:t xml:space="preserve">Due to the lapse in appropriations beginning October 1, 2025, OMB delayed submission of agency FY 2025 metrics and Senior Agency Official for Privacy </w:t>
      </w:r>
      <w:r w:rsidR="009859DB">
        <w:t>FISMA</w:t>
      </w:r>
      <w:r w:rsidR="00253DBD" w:rsidRPr="00253DBD">
        <w:t xml:space="preserve"> reports until Congress appropriates funding for FY 2026.</w:t>
      </w:r>
    </w:p>
    <w:p w14:paraId="01C7BA29" w14:textId="412310FF" w:rsidR="007D4548" w:rsidRPr="000C50CC" w:rsidRDefault="007D4548" w:rsidP="00BD19DA">
      <w:pPr>
        <w:pStyle w:val="CambriaNormal"/>
        <w:numPr>
          <w:ilvl w:val="0"/>
          <w:numId w:val="52"/>
        </w:numPr>
        <w:spacing w:line="276" w:lineRule="auto"/>
        <w:rPr>
          <w:b/>
          <w:bCs/>
          <w:u w:val="single"/>
        </w:rPr>
      </w:pPr>
      <w:r w:rsidRPr="000C50CC">
        <w:rPr>
          <w:b/>
          <w:bCs/>
          <w:u w:val="single"/>
        </w:rPr>
        <w:t>Payment Integrity Information Act of 2019</w:t>
      </w:r>
    </w:p>
    <w:p w14:paraId="663D6666" w14:textId="49E94847" w:rsidR="007D4548" w:rsidRDefault="007D4548" w:rsidP="00BD19DA">
      <w:pPr>
        <w:pStyle w:val="CambriaNormal"/>
        <w:tabs>
          <w:tab w:val="left" w:pos="4050"/>
        </w:tabs>
        <w:spacing w:line="276" w:lineRule="auto"/>
        <w:ind w:left="720"/>
      </w:pPr>
      <w:r>
        <w:t xml:space="preserve">The Payment Integrity Information Act (PIIA) of 2019 requires agencies to assess and identify high-risk programs and activities and report findings in the AFR. See the </w:t>
      </w:r>
      <w:r w:rsidR="00831E28" w:rsidRPr="00BE726D">
        <w:t>Payment Integrity Information Act of 2019</w:t>
      </w:r>
      <w:r>
        <w:t xml:space="preserve"> </w:t>
      </w:r>
      <w:hyperlink w:anchor="_Payment_Integrity_Information_1" w:history="1">
        <w:r w:rsidRPr="00831E28">
          <w:rPr>
            <w:rStyle w:val="Hyperlink"/>
          </w:rPr>
          <w:t>section</w:t>
        </w:r>
      </w:hyperlink>
      <w:r>
        <w:t xml:space="preserve"> included in the “Other Information” section of the AFR for further information on PCLOB’s compliance with PIIA.</w:t>
      </w:r>
    </w:p>
    <w:p w14:paraId="56FF3869" w14:textId="7D93C451" w:rsidR="007D4548" w:rsidRDefault="007D4548" w:rsidP="0019237F">
      <w:pPr>
        <w:pStyle w:val="CambriaNormal"/>
        <w:keepNext/>
        <w:keepLines/>
        <w:numPr>
          <w:ilvl w:val="0"/>
          <w:numId w:val="52"/>
        </w:numPr>
        <w:tabs>
          <w:tab w:val="left" w:pos="4050"/>
        </w:tabs>
        <w:spacing w:line="276" w:lineRule="auto"/>
        <w:rPr>
          <w:b/>
          <w:bCs/>
          <w:u w:val="single"/>
        </w:rPr>
      </w:pPr>
      <w:r w:rsidRPr="00BD19DA">
        <w:rPr>
          <w:b/>
          <w:bCs/>
          <w:u w:val="single"/>
        </w:rPr>
        <w:t>Prompt Payment Act</w:t>
      </w:r>
    </w:p>
    <w:p w14:paraId="2CE74F4B" w14:textId="1ADB4143" w:rsidR="00904C89" w:rsidRDefault="007D4548" w:rsidP="0019237F">
      <w:pPr>
        <w:pStyle w:val="CambriaNormal"/>
        <w:keepNext/>
        <w:keepLines/>
        <w:tabs>
          <w:tab w:val="left" w:pos="4050"/>
        </w:tabs>
        <w:spacing w:line="276" w:lineRule="auto"/>
        <w:ind w:left="720"/>
        <w:rPr>
          <w:b/>
          <w:bCs/>
          <w:u w:val="single"/>
        </w:rPr>
      </w:pPr>
      <w:r w:rsidRPr="007D4548">
        <w:t>The Prompt Payment Act requires federal agencies to report on their efforts to make timely payments to vendors, as well as the amount of interest penalties paid for late payments.</w:t>
      </w:r>
      <w:r>
        <w:t xml:space="preserve"> </w:t>
      </w:r>
      <w:bookmarkStart w:id="97" w:name="_Hlk180656288"/>
      <w:r w:rsidRPr="007D4548">
        <w:t>ARC prepares prompt pay, discounts lost, and improper payment metrics for PCLOB (</w:t>
      </w:r>
      <w:proofErr w:type="gramStart"/>
      <w:r w:rsidRPr="007D4548">
        <w:t>on a monthly basis</w:t>
      </w:r>
      <w:proofErr w:type="gramEnd"/>
      <w:r w:rsidRPr="007D4548">
        <w:t xml:space="preserve"> for PCLOB’s internal review and on a quarterly </w:t>
      </w:r>
      <w:proofErr w:type="gramStart"/>
      <w:r w:rsidRPr="007D4548">
        <w:t>basis to</w:t>
      </w:r>
      <w:proofErr w:type="gramEnd"/>
      <w:r w:rsidRPr="007D4548">
        <w:t xml:space="preserve"> Connect.gov) and performs monthly audits to provide assurance that</w:t>
      </w:r>
      <w:r w:rsidR="004F08BD">
        <w:t xml:space="preserve"> the Invoice Processing Platform (</w:t>
      </w:r>
      <w:r w:rsidRPr="007D4548">
        <w:t>IPP</w:t>
      </w:r>
      <w:r w:rsidR="004F08BD">
        <w:t>)</w:t>
      </w:r>
      <w:r w:rsidRPr="007D4548">
        <w:t xml:space="preserve"> system controls are operating as intended.</w:t>
      </w:r>
      <w:r>
        <w:t xml:space="preserve"> </w:t>
      </w:r>
      <w:bookmarkEnd w:id="97"/>
      <w:r>
        <w:t xml:space="preserve">In FY </w:t>
      </w:r>
      <w:r w:rsidR="0049075B">
        <w:t>2025</w:t>
      </w:r>
      <w:r>
        <w:t>, PCLOB had zero improper payments.</w:t>
      </w:r>
    </w:p>
    <w:p w14:paraId="3D34682F" w14:textId="3E466040" w:rsidR="00904C89" w:rsidRPr="00904C89" w:rsidRDefault="00904C89" w:rsidP="00E125E0">
      <w:pPr>
        <w:pStyle w:val="CambriaNormal"/>
        <w:numPr>
          <w:ilvl w:val="0"/>
          <w:numId w:val="52"/>
        </w:numPr>
        <w:tabs>
          <w:tab w:val="left" w:pos="4050"/>
        </w:tabs>
        <w:spacing w:line="276" w:lineRule="auto"/>
        <w:rPr>
          <w:b/>
          <w:bCs/>
          <w:u w:val="single"/>
        </w:rPr>
      </w:pPr>
      <w:r w:rsidRPr="00904C89">
        <w:rPr>
          <w:b/>
          <w:bCs/>
          <w:u w:val="single"/>
        </w:rPr>
        <w:t>Debt Collection Improvement Act</w:t>
      </w:r>
    </w:p>
    <w:p w14:paraId="49E626BC" w14:textId="7584C49C" w:rsidR="00904C89" w:rsidRDefault="00904C89" w:rsidP="00E125E0">
      <w:pPr>
        <w:pStyle w:val="CambriaNormal"/>
        <w:spacing w:line="276" w:lineRule="auto"/>
        <w:ind w:left="720"/>
        <w:rPr>
          <w:b/>
          <w:bCs/>
          <w:u w:val="single"/>
        </w:rPr>
      </w:pPr>
      <w:r w:rsidRPr="00904C89">
        <w:t xml:space="preserve">PCLOB does not currently manage debt but continues to monitor provisions of the Debt Collection Improvement Act of 1996; OMB Circular A-129, </w:t>
      </w:r>
      <w:r w:rsidRPr="00904C89">
        <w:rPr>
          <w:i/>
          <w:iCs/>
        </w:rPr>
        <w:t>Policies for Federal Credit Programs and Non-Tax Receivables</w:t>
      </w:r>
      <w:r w:rsidRPr="00904C89">
        <w:t>; and other relevant laws to ensure compliance.</w:t>
      </w:r>
      <w:r w:rsidRPr="00904C89">
        <w:rPr>
          <w:b/>
          <w:bCs/>
          <w:u w:val="single"/>
        </w:rPr>
        <w:t xml:space="preserve"> </w:t>
      </w:r>
    </w:p>
    <w:p w14:paraId="59B3921D" w14:textId="027CA342" w:rsidR="00904C89" w:rsidRPr="00DF5520" w:rsidRDefault="00904C89" w:rsidP="0019237F">
      <w:pPr>
        <w:pStyle w:val="CambriaNormal"/>
        <w:numPr>
          <w:ilvl w:val="0"/>
          <w:numId w:val="54"/>
        </w:numPr>
        <w:spacing w:line="240" w:lineRule="auto"/>
        <w:rPr>
          <w:b/>
          <w:bCs/>
          <w:u w:val="single"/>
        </w:rPr>
      </w:pPr>
      <w:r w:rsidRPr="00DF5520">
        <w:rPr>
          <w:b/>
          <w:bCs/>
          <w:u w:val="single"/>
        </w:rPr>
        <w:lastRenderedPageBreak/>
        <w:t>Digital Accountability and Transparency Act</w:t>
      </w:r>
    </w:p>
    <w:p w14:paraId="1D68D783" w14:textId="6132E2BE" w:rsidR="00904C89" w:rsidRPr="00DF5520" w:rsidRDefault="00904C89" w:rsidP="0019237F">
      <w:pPr>
        <w:pStyle w:val="CambriaNormal"/>
        <w:spacing w:line="276" w:lineRule="auto"/>
        <w:ind w:left="720"/>
      </w:pPr>
      <w:hyperlink r:id="rId92" w:history="1">
        <w:r w:rsidRPr="00A07B1F">
          <w:rPr>
            <w:rStyle w:val="Hyperlink"/>
          </w:rPr>
          <w:t>The Digital Accountability and Transparency Act of 2014</w:t>
        </w:r>
      </w:hyperlink>
      <w:r w:rsidRPr="00DF5520">
        <w:t xml:space="preserve">, or DATA Act, was signed into law in May 2014 to establish </w:t>
      </w:r>
      <w:r w:rsidR="00DF0B83" w:rsidRPr="00DF5520">
        <w:t>governmentwide</w:t>
      </w:r>
      <w:r w:rsidRPr="00DF5520">
        <w:t xml:space="preserve"> financial data standards and increase the availability, accuracy, and usefulness of federal spending information. DATA Act implementation, led by Treasury and OMB, </w:t>
      </w:r>
      <w:r w:rsidR="00253DBD">
        <w:t>requires</w:t>
      </w:r>
      <w:r w:rsidR="00253DBD" w:rsidRPr="00DF5520">
        <w:t xml:space="preserve"> </w:t>
      </w:r>
      <w:r w:rsidRPr="00DF5520">
        <w:t xml:space="preserve">federal agencies to report on procurement data to bring awareness to federal spending. Pursuant to the statutory reporting requirements, </w:t>
      </w:r>
      <w:r w:rsidR="00664B43">
        <w:t>f</w:t>
      </w:r>
      <w:r w:rsidRPr="00DF5520">
        <w:t xml:space="preserve">ederal spending that is reported on </w:t>
      </w:r>
      <w:hyperlink r:id="rId93" w:history="1">
        <w:r w:rsidRPr="007261C8">
          <w:rPr>
            <w:rStyle w:val="Hyperlink"/>
          </w:rPr>
          <w:t>usaspending.gov</w:t>
        </w:r>
      </w:hyperlink>
      <w:r w:rsidRPr="00DF5520">
        <w:t xml:space="preserve"> is derived from financial and contract award information. The agency’s financial system is updated with the most recent version of </w:t>
      </w:r>
      <w:r w:rsidR="0058726E" w:rsidRPr="0058726E">
        <w:t>Governmentwide Spending Data Model, formally known as the DATA Act Information Model Schema</w:t>
      </w:r>
      <w:r w:rsidR="0058726E">
        <w:t>,</w:t>
      </w:r>
      <w:r w:rsidRPr="00DF5520">
        <w:t xml:space="preserve"> to ensure that the submission of all required financial data elements is complete and accurate. As for contract award data, the agency uses </w:t>
      </w:r>
      <w:r>
        <w:t>ARC’s procurement system, PRISM,</w:t>
      </w:r>
      <w:r w:rsidRPr="00DF5520">
        <w:t xml:space="preserve"> for domestic contracts, which automatically updates to Federal Procurement Data System-Next Generation, the central repository of information for federal contracting. Validation issues between financial and award information are reconciled each month to ensure that spending data is accurate.</w:t>
      </w:r>
    </w:p>
    <w:p w14:paraId="293E9070" w14:textId="38FEE8FB" w:rsidR="00904C89" w:rsidRPr="002345D3" w:rsidRDefault="00253DBD" w:rsidP="00904C89">
      <w:pPr>
        <w:pStyle w:val="CambriaNormal"/>
        <w:spacing w:line="276" w:lineRule="auto"/>
        <w:ind w:left="720"/>
      </w:pPr>
      <w:r w:rsidRPr="002345D3">
        <w:t>ARC</w:t>
      </w:r>
      <w:r>
        <w:t xml:space="preserve">’s </w:t>
      </w:r>
      <w:r w:rsidR="00904C89">
        <w:t xml:space="preserve">services strengthen </w:t>
      </w:r>
      <w:r w:rsidR="00904C89" w:rsidRPr="002345D3">
        <w:t>PCLOB</w:t>
      </w:r>
      <w:r w:rsidR="00904C89">
        <w:t>’s ability to</w:t>
      </w:r>
      <w:r w:rsidR="00904C89" w:rsidRPr="002345D3">
        <w:t xml:space="preserve"> reach full DATA </w:t>
      </w:r>
      <w:r w:rsidR="003500BC">
        <w:t>A</w:t>
      </w:r>
      <w:r w:rsidR="00904C89" w:rsidRPr="002345D3">
        <w:t>ct compliance</w:t>
      </w:r>
      <w:r w:rsidR="00904C89">
        <w:t xml:space="preserve">. Services which </w:t>
      </w:r>
      <w:r w:rsidR="00904C89" w:rsidRPr="00736F35">
        <w:t xml:space="preserve">improve the quality and transparency of federal spending data </w:t>
      </w:r>
      <w:r w:rsidR="00904C89" w:rsidRPr="002345D3">
        <w:t>include:</w:t>
      </w:r>
    </w:p>
    <w:p w14:paraId="6037D168" w14:textId="366060FA" w:rsidR="00904C89" w:rsidRPr="002345D3" w:rsidRDefault="00904C89" w:rsidP="00BD19DA">
      <w:pPr>
        <w:pStyle w:val="CambriaNormal"/>
        <w:numPr>
          <w:ilvl w:val="0"/>
          <w:numId w:val="55"/>
        </w:numPr>
        <w:spacing w:line="276" w:lineRule="auto"/>
        <w:ind w:left="1080"/>
      </w:pPr>
      <w:r w:rsidRPr="00BD19DA">
        <w:rPr>
          <w:i/>
          <w:iCs/>
        </w:rPr>
        <w:t>Financial Reporting</w:t>
      </w:r>
      <w:r w:rsidR="000339EF">
        <w:t xml:space="preserve">. </w:t>
      </w:r>
      <w:r w:rsidRPr="002345D3">
        <w:t xml:space="preserve">ARC assists PCLOB in preparing and submitting financial and payment information as required by the DATA Act while ensuring data accuracy and </w:t>
      </w:r>
      <w:proofErr w:type="gramStart"/>
      <w:r w:rsidRPr="002345D3">
        <w:t>completeness</w:t>
      </w:r>
      <w:r w:rsidR="000339EF">
        <w:t>;</w:t>
      </w:r>
      <w:proofErr w:type="gramEnd"/>
    </w:p>
    <w:p w14:paraId="58696FE0" w14:textId="469FDEBD" w:rsidR="00904C89" w:rsidRPr="002345D3" w:rsidRDefault="00904C89" w:rsidP="00BD19DA">
      <w:pPr>
        <w:pStyle w:val="CambriaNormal"/>
        <w:numPr>
          <w:ilvl w:val="0"/>
          <w:numId w:val="55"/>
        </w:numPr>
        <w:spacing w:line="276" w:lineRule="auto"/>
        <w:ind w:left="1080"/>
      </w:pPr>
      <w:r w:rsidRPr="00BD19DA">
        <w:rPr>
          <w:i/>
          <w:iCs/>
        </w:rPr>
        <w:t>Data Transparency</w:t>
      </w:r>
      <w:r w:rsidR="000339EF">
        <w:rPr>
          <w:i/>
          <w:iCs/>
        </w:rPr>
        <w:t>.</w:t>
      </w:r>
      <w:r w:rsidRPr="002345D3">
        <w:t xml:space="preserve"> </w:t>
      </w:r>
      <w:r>
        <w:t>T</w:t>
      </w:r>
      <w:r w:rsidRPr="002345D3">
        <w:t xml:space="preserve">o enhance data transparency, ARC provides tools and resources for better data management and </w:t>
      </w:r>
      <w:proofErr w:type="gramStart"/>
      <w:r w:rsidRPr="002345D3">
        <w:t>reporting</w:t>
      </w:r>
      <w:r>
        <w:t>;</w:t>
      </w:r>
      <w:proofErr w:type="gramEnd"/>
    </w:p>
    <w:p w14:paraId="5FF5D032" w14:textId="16C3525D" w:rsidR="00904C89" w:rsidRPr="002345D3" w:rsidRDefault="00904C89" w:rsidP="00BD19DA">
      <w:pPr>
        <w:pStyle w:val="CambriaNormal"/>
        <w:numPr>
          <w:ilvl w:val="0"/>
          <w:numId w:val="55"/>
        </w:numPr>
        <w:spacing w:line="276" w:lineRule="auto"/>
        <w:ind w:left="1080"/>
      </w:pPr>
      <w:r w:rsidRPr="00BD19DA">
        <w:rPr>
          <w:i/>
          <w:iCs/>
        </w:rPr>
        <w:t>Compliance Support</w:t>
      </w:r>
      <w:r w:rsidR="000339EF">
        <w:t>.</w:t>
      </w:r>
      <w:r w:rsidRPr="002345D3">
        <w:t xml:space="preserve"> ARC offer</w:t>
      </w:r>
      <w:r>
        <w:t>s</w:t>
      </w:r>
      <w:r w:rsidRPr="002345D3">
        <w:t xml:space="preserve"> guidance on compliance and best practices</w:t>
      </w:r>
      <w:r>
        <w:t xml:space="preserve"> to help </w:t>
      </w:r>
      <w:r w:rsidRPr="00B42A6C">
        <w:t xml:space="preserve">PCLOB meet DATA Act reporting </w:t>
      </w:r>
      <w:proofErr w:type="gramStart"/>
      <w:r w:rsidRPr="00B42A6C">
        <w:t>requirements</w:t>
      </w:r>
      <w:r>
        <w:t>;</w:t>
      </w:r>
      <w:proofErr w:type="gramEnd"/>
    </w:p>
    <w:p w14:paraId="7440F69C" w14:textId="778DED70" w:rsidR="00904C89" w:rsidRPr="002345D3" w:rsidRDefault="00904C89" w:rsidP="00BD19DA">
      <w:pPr>
        <w:pStyle w:val="CambriaNormal"/>
        <w:numPr>
          <w:ilvl w:val="0"/>
          <w:numId w:val="55"/>
        </w:numPr>
        <w:spacing w:line="276" w:lineRule="auto"/>
        <w:ind w:left="1080"/>
      </w:pPr>
      <w:r w:rsidRPr="00BD19DA">
        <w:rPr>
          <w:i/>
          <w:iCs/>
        </w:rPr>
        <w:t>System</w:t>
      </w:r>
      <w:r w:rsidR="000339EF" w:rsidRPr="00BD19DA">
        <w:rPr>
          <w:i/>
          <w:iCs/>
        </w:rPr>
        <w:t xml:space="preserve"> </w:t>
      </w:r>
      <w:r w:rsidRPr="00BD19DA">
        <w:rPr>
          <w:i/>
          <w:iCs/>
        </w:rPr>
        <w:t>Integration</w:t>
      </w:r>
      <w:r w:rsidR="000339EF">
        <w:t>.</w:t>
      </w:r>
      <w:r>
        <w:t xml:space="preserve"> </w:t>
      </w:r>
      <w:r w:rsidRPr="002345D3">
        <w:t xml:space="preserve">ARC integrates financial management systems to streamline data collection and reporting processes, making it easier for </w:t>
      </w:r>
      <w:r>
        <w:t>PCLOB</w:t>
      </w:r>
      <w:r w:rsidRPr="002345D3">
        <w:t xml:space="preserve"> to comply with DATA Act requirements</w:t>
      </w:r>
      <w:r>
        <w:t>; and</w:t>
      </w:r>
    </w:p>
    <w:p w14:paraId="7B41C6D0" w14:textId="66AA2CB0" w:rsidR="00904C89" w:rsidRPr="002345D3" w:rsidRDefault="00904C89" w:rsidP="00BD19DA">
      <w:pPr>
        <w:pStyle w:val="CambriaNormal"/>
        <w:numPr>
          <w:ilvl w:val="0"/>
          <w:numId w:val="55"/>
        </w:numPr>
        <w:spacing w:line="276" w:lineRule="auto"/>
        <w:ind w:left="1080"/>
      </w:pPr>
      <w:r w:rsidRPr="00BD19DA">
        <w:rPr>
          <w:i/>
          <w:iCs/>
        </w:rPr>
        <w:t>Training and Resources</w:t>
      </w:r>
      <w:r w:rsidR="000339EF">
        <w:rPr>
          <w:i/>
          <w:iCs/>
        </w:rPr>
        <w:t>.</w:t>
      </w:r>
      <w:r w:rsidRPr="002345D3">
        <w:t xml:space="preserve"> ARC provides </w:t>
      </w:r>
      <w:r w:rsidRPr="00736F35">
        <w:t xml:space="preserve">DATA Act </w:t>
      </w:r>
      <w:r w:rsidRPr="002345D3">
        <w:t xml:space="preserve">training and resources to help </w:t>
      </w:r>
      <w:r>
        <w:t xml:space="preserve">PCLOB </w:t>
      </w:r>
      <w:r w:rsidRPr="002345D3">
        <w:t xml:space="preserve">understand and implement </w:t>
      </w:r>
      <w:r>
        <w:t xml:space="preserve">requirements </w:t>
      </w:r>
      <w:r w:rsidRPr="002345D3">
        <w:t>effectively.</w:t>
      </w:r>
    </w:p>
    <w:p w14:paraId="0369144B" w14:textId="77777777" w:rsidR="00E25993" w:rsidRDefault="00E25993">
      <w:pPr>
        <w:rPr>
          <w:rFonts w:ascii="Cambria" w:eastAsia="Calibri" w:hAnsi="Cambria" w:cs="Times New Roman"/>
          <w:b/>
          <w:bCs/>
          <w:sz w:val="24"/>
          <w:szCs w:val="24"/>
          <w:u w:val="single"/>
        </w:rPr>
      </w:pPr>
      <w:r>
        <w:rPr>
          <w:b/>
          <w:bCs/>
          <w:u w:val="single"/>
        </w:rPr>
        <w:br w:type="page"/>
      </w:r>
    </w:p>
    <w:p w14:paraId="4BD2C2E0" w14:textId="255C1F54" w:rsidR="007D4548" w:rsidRPr="007D4548" w:rsidRDefault="007D4548" w:rsidP="00BD19DA">
      <w:pPr>
        <w:pStyle w:val="CambriaNormal"/>
        <w:keepNext/>
        <w:keepLines/>
        <w:tabs>
          <w:tab w:val="left" w:pos="4050"/>
        </w:tabs>
        <w:spacing w:line="276" w:lineRule="auto"/>
      </w:pPr>
      <w:r w:rsidRPr="007D4548">
        <w:rPr>
          <w:b/>
          <w:bCs/>
          <w:u w:val="single"/>
        </w:rPr>
        <w:lastRenderedPageBreak/>
        <w:t xml:space="preserve">Other </w:t>
      </w:r>
      <w:r>
        <w:rPr>
          <w:b/>
          <w:bCs/>
          <w:u w:val="single"/>
        </w:rPr>
        <w:t xml:space="preserve">Systems and Control Considerations </w:t>
      </w:r>
    </w:p>
    <w:p w14:paraId="50661921" w14:textId="205D8086" w:rsidR="00B01036" w:rsidRPr="00B01036" w:rsidRDefault="00B01036" w:rsidP="00BD19DA">
      <w:pPr>
        <w:pStyle w:val="CambriaNormal"/>
        <w:numPr>
          <w:ilvl w:val="0"/>
          <w:numId w:val="51"/>
        </w:numPr>
        <w:rPr>
          <w:b/>
          <w:bCs/>
          <w:u w:val="single"/>
        </w:rPr>
      </w:pPr>
      <w:r w:rsidRPr="00B01036">
        <w:rPr>
          <w:b/>
          <w:bCs/>
          <w:u w:val="single"/>
        </w:rPr>
        <w:t>Financial Management Systems Strategy</w:t>
      </w:r>
    </w:p>
    <w:p w14:paraId="66D16510" w14:textId="0366143A" w:rsidR="00A10254" w:rsidRDefault="00B01036" w:rsidP="00BD19DA">
      <w:pPr>
        <w:pStyle w:val="CambriaNormal"/>
        <w:spacing w:line="276" w:lineRule="auto"/>
        <w:ind w:left="720"/>
      </w:pPr>
      <w:r w:rsidRPr="00182D44">
        <w:t xml:space="preserve">PCLOB strives to maintain and enhance financial management systems, processes, and controls that ensure accountability and transparency, provide data and information to decision makers, and comply with federal laws, regulations, and policy. </w:t>
      </w:r>
      <w:r w:rsidR="009A0EA2" w:rsidRPr="009A0EA2">
        <w:t xml:space="preserve">As a </w:t>
      </w:r>
      <w:r w:rsidR="00253DBD">
        <w:t>very</w:t>
      </w:r>
      <w:r w:rsidR="009A0EA2" w:rsidRPr="009A0EA2">
        <w:t xml:space="preserve"> small agency with limited resources and a staff much smaller than most federal agencies, PCLOB must turn to shared-service providers </w:t>
      </w:r>
      <w:r w:rsidR="00A10254">
        <w:t xml:space="preserve">to </w:t>
      </w:r>
      <w:r w:rsidR="00AA04D1">
        <w:t>a</w:t>
      </w:r>
      <w:r w:rsidR="002869D5">
        <w:t>chiev</w:t>
      </w:r>
      <w:r w:rsidR="00AA04D1">
        <w:t xml:space="preserve">e </w:t>
      </w:r>
      <w:r w:rsidR="002869D5">
        <w:t>these</w:t>
      </w:r>
      <w:r>
        <w:t xml:space="preserve"> goals</w:t>
      </w:r>
      <w:r w:rsidR="00A10254">
        <w:t xml:space="preserve"> to assist the agency’s full-time operational staff with critical functions such as human resources</w:t>
      </w:r>
      <w:r w:rsidR="00532370">
        <w:t xml:space="preserve"> and payroll</w:t>
      </w:r>
      <w:r w:rsidR="00A10254">
        <w:t xml:space="preserve">, financial management, and procurement. </w:t>
      </w:r>
    </w:p>
    <w:p w14:paraId="77DEED1D" w14:textId="48DB70E0" w:rsidR="00B01036" w:rsidRDefault="000375EA" w:rsidP="00E125E0">
      <w:pPr>
        <w:pStyle w:val="CambriaNormal"/>
        <w:spacing w:line="276" w:lineRule="auto"/>
        <w:ind w:left="720"/>
      </w:pPr>
      <w:r>
        <w:rPr>
          <w:noProof/>
        </w:rPr>
        <w:drawing>
          <wp:anchor distT="0" distB="0" distL="114300" distR="114300" simplePos="0" relativeHeight="251879936" behindDoc="0" locked="0" layoutInCell="1" allowOverlap="1" wp14:anchorId="05A7CD55" wp14:editId="0F5CE7C2">
            <wp:simplePos x="0" y="0"/>
            <wp:positionH relativeFrom="page">
              <wp:posOffset>3095625</wp:posOffset>
            </wp:positionH>
            <wp:positionV relativeFrom="page">
              <wp:posOffset>5579110</wp:posOffset>
            </wp:positionV>
            <wp:extent cx="3793490" cy="2519045"/>
            <wp:effectExtent l="57150" t="57150" r="92710" b="90805"/>
            <wp:wrapSquare wrapText="bothSides"/>
            <wp:docPr id="19438615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6158" name="Picture 83"/>
                    <pic:cNvPicPr/>
                  </pic:nvPicPr>
                  <pic:blipFill>
                    <a:blip r:embed="rId94"/>
                    <a:stretch>
                      <a:fillRect/>
                    </a:stretch>
                  </pic:blipFill>
                  <pic:spPr>
                    <a:xfrm>
                      <a:off x="0" y="0"/>
                      <a:ext cx="3793490" cy="2519045"/>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25993">
        <w:rPr>
          <w:rFonts w:ascii="Calibri" w:hAnsi="Calibri"/>
          <w:noProof/>
        </w:rPr>
        <mc:AlternateContent>
          <mc:Choice Requires="wps">
            <w:drawing>
              <wp:anchor distT="0" distB="0" distL="114300" distR="114300" simplePos="0" relativeHeight="251894272" behindDoc="0" locked="0" layoutInCell="1" allowOverlap="1" wp14:anchorId="0027DDFB" wp14:editId="25862A80">
                <wp:simplePos x="0" y="0"/>
                <wp:positionH relativeFrom="column">
                  <wp:posOffset>3284855</wp:posOffset>
                </wp:positionH>
                <wp:positionV relativeFrom="page">
                  <wp:posOffset>8085455</wp:posOffset>
                </wp:positionV>
                <wp:extent cx="2757170" cy="233045"/>
                <wp:effectExtent l="0" t="0" r="0" b="0"/>
                <wp:wrapSquare wrapText="bothSides"/>
                <wp:docPr id="14681146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17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52B1118" w14:textId="39E57661" w:rsidR="00CC5FBA" w:rsidRPr="005430F9" w:rsidRDefault="00CC5FBA" w:rsidP="00AD7A93">
                            <w:pPr>
                              <w:ind w:left="-90"/>
                              <w:jc w:val="right"/>
                              <w:rPr>
                                <w:rFonts w:ascii="Cambria" w:hAnsi="Cambria"/>
                                <w:i/>
                                <w:iCs/>
                                <w:sz w:val="16"/>
                                <w:szCs w:val="16"/>
                              </w:rPr>
                            </w:pPr>
                            <w:r>
                              <w:rPr>
                                <w:rFonts w:ascii="Cambria" w:hAnsi="Cambria"/>
                                <w:i/>
                                <w:iCs/>
                                <w:sz w:val="16"/>
                                <w:szCs w:val="16"/>
                              </w:rPr>
                              <w:t xml:space="preserve">Photo credit: </w:t>
                            </w:r>
                            <w:proofErr w:type="spellStart"/>
                            <w:r w:rsidR="00E25993">
                              <w:rPr>
                                <w:rFonts w:ascii="Cambria" w:hAnsi="Cambria"/>
                                <w:i/>
                                <w:iCs/>
                                <w:sz w:val="16"/>
                                <w:szCs w:val="16"/>
                              </w:rPr>
                              <w:t>rrodrickbeiler</w:t>
                            </w:r>
                            <w:proofErr w:type="spellEnd"/>
                            <w:r w:rsidR="00E25993">
                              <w:rPr>
                                <w:rFonts w:ascii="Cambria" w:hAnsi="Cambria"/>
                                <w:i/>
                                <w:iCs/>
                                <w:sz w:val="16"/>
                                <w:szCs w:val="16"/>
                              </w:rPr>
                              <w:t xml:space="preserve"> </w:t>
                            </w:r>
                            <w:r>
                              <w:rPr>
                                <w:rFonts w:ascii="Cambria" w:hAnsi="Cambria"/>
                                <w:i/>
                                <w:iCs/>
                                <w:sz w:val="16"/>
                                <w:szCs w:val="16"/>
                              </w:rPr>
                              <w:t xml:space="preserve">via </w:t>
                            </w:r>
                            <w:r w:rsidR="00E25993">
                              <w:rPr>
                                <w:rFonts w:ascii="Cambria" w:hAnsi="Cambria"/>
                                <w:i/>
                                <w:iCs/>
                                <w:sz w:val="16"/>
                                <w:szCs w:val="16"/>
                              </w:rPr>
                              <w:t>Adobe Stock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7DDFB" id="_x0000_s1040" type="#_x0000_t202" style="position:absolute;left:0;text-align:left;margin-left:258.65pt;margin-top:636.65pt;width:217.1pt;height:18.3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" filled="f" stroked="f" strokeweight="1pt">
                <v:textbox>
                  <w:txbxContent>
                    <w:p w14:paraId="052B1118" w14:textId="39E57661" w:rsidR="00CC5FBA" w:rsidRPr="005430F9" w:rsidRDefault="00CC5FBA" w:rsidP="00AD7A93">
                      <w:pPr>
                        <w:ind w:left="-90"/>
                        <w:jc w:val="right"/>
                        <w:rPr>
                          <w:rFonts w:ascii="Cambria" w:hAnsi="Cambria"/>
                          <w:i/>
                          <w:iCs/>
                          <w:sz w:val="16"/>
                          <w:szCs w:val="16"/>
                        </w:rPr>
                      </w:pPr>
                      <w:r>
                        <w:rPr>
                          <w:rFonts w:ascii="Cambria" w:hAnsi="Cambria"/>
                          <w:i/>
                          <w:iCs/>
                          <w:sz w:val="16"/>
                          <w:szCs w:val="16"/>
                        </w:rPr>
                        <w:t xml:space="preserve">Photo credit: </w:t>
                      </w:r>
                      <w:proofErr w:type="spellStart"/>
                      <w:r w:rsidR="00E25993">
                        <w:rPr>
                          <w:rFonts w:ascii="Cambria" w:hAnsi="Cambria"/>
                          <w:i/>
                          <w:iCs/>
                          <w:sz w:val="16"/>
                          <w:szCs w:val="16"/>
                        </w:rPr>
                        <w:t>rrodrickbeiler</w:t>
                      </w:r>
                      <w:proofErr w:type="spellEnd"/>
                      <w:r w:rsidR="00E25993">
                        <w:rPr>
                          <w:rFonts w:ascii="Cambria" w:hAnsi="Cambria"/>
                          <w:i/>
                          <w:iCs/>
                          <w:sz w:val="16"/>
                          <w:szCs w:val="16"/>
                        </w:rPr>
                        <w:t xml:space="preserve"> </w:t>
                      </w:r>
                      <w:r>
                        <w:rPr>
                          <w:rFonts w:ascii="Cambria" w:hAnsi="Cambria"/>
                          <w:i/>
                          <w:iCs/>
                          <w:sz w:val="16"/>
                          <w:szCs w:val="16"/>
                        </w:rPr>
                        <w:t xml:space="preserve">via </w:t>
                      </w:r>
                      <w:r w:rsidR="00E25993">
                        <w:rPr>
                          <w:rFonts w:ascii="Cambria" w:hAnsi="Cambria"/>
                          <w:i/>
                          <w:iCs/>
                          <w:sz w:val="16"/>
                          <w:szCs w:val="16"/>
                        </w:rPr>
                        <w:t>Adobe Stock</w:t>
                      </w:r>
                    </w:p>
                  </w:txbxContent>
                </v:textbox>
                <w10:wrap type="square" anchory="page"/>
              </v:shape>
            </w:pict>
          </mc:Fallback>
        </mc:AlternateContent>
      </w:r>
      <w:r w:rsidR="00532370" w:rsidRPr="00532370">
        <w:t xml:space="preserve">The decision to </w:t>
      </w:r>
      <w:r w:rsidR="00532370">
        <w:t>use shared-service arrangements</w:t>
      </w:r>
      <w:r w:rsidR="00532370" w:rsidRPr="00532370">
        <w:t xml:space="preserve"> directly correlates with the agency’s strategic goal and objectives</w:t>
      </w:r>
      <w:r w:rsidR="00532370">
        <w:t xml:space="preserve"> </w:t>
      </w:r>
      <w:r w:rsidR="001959E3">
        <w:t xml:space="preserve">relating to </w:t>
      </w:r>
      <w:r w:rsidR="00307BDF">
        <w:t xml:space="preserve">institutional </w:t>
      </w:r>
      <w:r w:rsidR="001959E3">
        <w:t xml:space="preserve">strength and </w:t>
      </w:r>
      <w:r w:rsidR="00307BDF">
        <w:t>capacity</w:t>
      </w:r>
      <w:r w:rsidR="001959E3">
        <w:t xml:space="preserve"> </w:t>
      </w:r>
      <w:r w:rsidR="00532370" w:rsidRPr="00532370">
        <w:t>and</w:t>
      </w:r>
      <w:r w:rsidR="00532370">
        <w:t>,</w:t>
      </w:r>
      <w:r w:rsidR="00532370" w:rsidRPr="00532370">
        <w:t xml:space="preserve"> thus far</w:t>
      </w:r>
      <w:r w:rsidR="00532370">
        <w:t>,</w:t>
      </w:r>
      <w:r w:rsidR="00532370" w:rsidRPr="00532370">
        <w:t xml:space="preserve"> has been a good one. </w:t>
      </w:r>
      <w:r w:rsidR="00532370" w:rsidRPr="00985E12">
        <w:t xml:space="preserve">Since transitioning to </w:t>
      </w:r>
      <w:r w:rsidR="00532370" w:rsidRPr="002345D3">
        <w:t>ARC</w:t>
      </w:r>
      <w:r w:rsidR="00532370" w:rsidRPr="00985E12">
        <w:t xml:space="preserve"> (for financial management and procurement services) and </w:t>
      </w:r>
      <w:r w:rsidR="003B2822">
        <w:t xml:space="preserve">DOI’s Interior Business Center, or </w:t>
      </w:r>
      <w:r w:rsidR="00532370" w:rsidRPr="002345D3">
        <w:t>IBC</w:t>
      </w:r>
      <w:r w:rsidR="00532370">
        <w:t xml:space="preserve"> (for human resources</w:t>
      </w:r>
      <w:r w:rsidR="00532370" w:rsidRPr="00532370">
        <w:t xml:space="preserve"> </w:t>
      </w:r>
      <w:r w:rsidR="00532370">
        <w:t>and payroll</w:t>
      </w:r>
      <w:r w:rsidR="00532370" w:rsidRPr="00532370">
        <w:t xml:space="preserve"> </w:t>
      </w:r>
      <w:r w:rsidR="00532370">
        <w:t>services)</w:t>
      </w:r>
      <w:r w:rsidR="00532370" w:rsidRPr="00532370">
        <w:t>,</w:t>
      </w:r>
      <w:r w:rsidR="00532370">
        <w:t xml:space="preserve"> </w:t>
      </w:r>
      <w:r w:rsidR="00532370" w:rsidRPr="00532370">
        <w:t xml:space="preserve">PCLOB has experienced </w:t>
      </w:r>
      <w:r w:rsidR="00F5675D">
        <w:t>improved</w:t>
      </w:r>
      <w:r w:rsidR="00F5675D" w:rsidRPr="00532370">
        <w:t xml:space="preserve"> </w:t>
      </w:r>
      <w:r w:rsidR="00532370" w:rsidRPr="00532370">
        <w:t xml:space="preserve">customer service with real-time access to </w:t>
      </w:r>
      <w:r w:rsidR="00DB7641">
        <w:t>highly reliable</w:t>
      </w:r>
      <w:r w:rsidR="00532370" w:rsidRPr="00532370">
        <w:t xml:space="preserve"> financial data</w:t>
      </w:r>
      <w:r w:rsidR="00DB364D">
        <w:t>, managed by experts in their functional area</w:t>
      </w:r>
      <w:r w:rsidR="00532370" w:rsidRPr="00532370">
        <w:t xml:space="preserve">. </w:t>
      </w:r>
      <w:r w:rsidR="001959E3">
        <w:t>Further, t</w:t>
      </w:r>
      <w:r w:rsidR="00412CE5">
        <w:t xml:space="preserve">he </w:t>
      </w:r>
      <w:r w:rsidR="001959E3">
        <w:t xml:space="preserve">benefits achieved with </w:t>
      </w:r>
      <w:r w:rsidR="00412CE5">
        <w:t xml:space="preserve">access to </w:t>
      </w:r>
      <w:r w:rsidR="00DB364D">
        <w:t xml:space="preserve">the </w:t>
      </w:r>
      <w:r w:rsidR="00412CE5">
        <w:t xml:space="preserve">technological systems </w:t>
      </w:r>
      <w:r w:rsidR="00DB364D">
        <w:t xml:space="preserve">provided through ARC and IBC </w:t>
      </w:r>
      <w:r w:rsidR="00F66B0B">
        <w:t>ha</w:t>
      </w:r>
      <w:r w:rsidR="00253DBD">
        <w:t>ve</w:t>
      </w:r>
      <w:r w:rsidR="00F66B0B">
        <w:t xml:space="preserve"> been </w:t>
      </w:r>
      <w:r w:rsidR="00F66B0B" w:rsidRPr="00182D44">
        <w:t>significant</w:t>
      </w:r>
      <w:r w:rsidR="00F66B0B">
        <w:t xml:space="preserve">. </w:t>
      </w:r>
      <w:r w:rsidR="00B01036" w:rsidRPr="00182D44">
        <w:t>Oracle</w:t>
      </w:r>
      <w:r w:rsidR="009A0EA2">
        <w:t xml:space="preserve">, </w:t>
      </w:r>
      <w:r w:rsidR="00A02078" w:rsidRPr="00A02078">
        <w:t xml:space="preserve">widely used in the federal government </w:t>
      </w:r>
      <w:r w:rsidR="00A02078">
        <w:t xml:space="preserve">and </w:t>
      </w:r>
      <w:r w:rsidR="00A02078" w:rsidRPr="00A02078">
        <w:t>the agency’s system of record</w:t>
      </w:r>
      <w:r w:rsidR="00A02078">
        <w:t xml:space="preserve"> </w:t>
      </w:r>
      <w:r w:rsidR="009A0EA2">
        <w:t>provided through ARC,</w:t>
      </w:r>
      <w:r w:rsidR="00B01036" w:rsidRPr="00182D44">
        <w:t xml:space="preserve"> </w:t>
      </w:r>
      <w:r w:rsidR="009A0EA2">
        <w:t xml:space="preserve">is </w:t>
      </w:r>
      <w:r w:rsidR="00B01036" w:rsidRPr="00182D44">
        <w:t>integrated with various end-user applications</w:t>
      </w:r>
      <w:r w:rsidR="00E14BBE">
        <w:t xml:space="preserve"> </w:t>
      </w:r>
      <w:r w:rsidR="00B01036" w:rsidRPr="00182D44">
        <w:t xml:space="preserve"> to capture the agency’s financial transactions. </w:t>
      </w:r>
      <w:r w:rsidR="00E14BBE">
        <w:t>ARC also provides ready access to a whole host of other systems, to include Concur (</w:t>
      </w:r>
      <w:r w:rsidR="00A67615">
        <w:t xml:space="preserve">a web-based system </w:t>
      </w:r>
      <w:r w:rsidR="00E14BBE">
        <w:t xml:space="preserve">for travel and expense reimbursement), </w:t>
      </w:r>
      <w:r w:rsidR="00A67615">
        <w:t xml:space="preserve">and </w:t>
      </w:r>
      <w:r w:rsidR="00E14BBE">
        <w:t>PRISM</w:t>
      </w:r>
      <w:r w:rsidR="00E56FEF">
        <w:t xml:space="preserve">, </w:t>
      </w:r>
      <w:r w:rsidR="00A67615">
        <w:t xml:space="preserve">as well as various </w:t>
      </w:r>
      <w:r w:rsidR="00F66B0B">
        <w:t>means</w:t>
      </w:r>
      <w:r w:rsidR="00A67615">
        <w:t xml:space="preserve"> of </w:t>
      </w:r>
      <w:r w:rsidR="00F66B0B">
        <w:t xml:space="preserve">assessable </w:t>
      </w:r>
      <w:r w:rsidR="00A67615">
        <w:t>support for each system</w:t>
      </w:r>
      <w:r w:rsidR="00F66B0B">
        <w:t xml:space="preserve"> when necessary</w:t>
      </w:r>
      <w:r w:rsidR="00A67615">
        <w:t>.</w:t>
      </w:r>
    </w:p>
    <w:p w14:paraId="523D6474" w14:textId="77777777" w:rsidR="00E25993" w:rsidRDefault="00E25993">
      <w:pPr>
        <w:rPr>
          <w:rFonts w:ascii="Cambria" w:eastAsia="Calibri" w:hAnsi="Cambria" w:cs="Times New Roman"/>
          <w:b/>
          <w:bCs/>
          <w:sz w:val="24"/>
          <w:szCs w:val="24"/>
          <w:u w:val="single"/>
        </w:rPr>
      </w:pPr>
      <w:bookmarkStart w:id="98" w:name="_Hlk49950657"/>
      <w:r>
        <w:rPr>
          <w:b/>
          <w:bCs/>
          <w:u w:val="single"/>
        </w:rPr>
        <w:br w:type="page"/>
      </w:r>
    </w:p>
    <w:p w14:paraId="5834E989" w14:textId="33E6B060" w:rsidR="00A32CB7" w:rsidRPr="00DF5520" w:rsidRDefault="000375EA" w:rsidP="0019237F">
      <w:pPr>
        <w:pStyle w:val="CambriaNormal"/>
        <w:numPr>
          <w:ilvl w:val="0"/>
          <w:numId w:val="53"/>
        </w:numPr>
        <w:spacing w:line="240" w:lineRule="auto"/>
        <w:rPr>
          <w:b/>
          <w:bCs/>
          <w:u w:val="single"/>
        </w:rPr>
      </w:pPr>
      <w:r>
        <w:rPr>
          <w:noProof/>
        </w:rPr>
        <w:lastRenderedPageBreak/>
        <w:drawing>
          <wp:anchor distT="0" distB="0" distL="91440" distR="91440" simplePos="0" relativeHeight="252231168" behindDoc="0" locked="0" layoutInCell="1" allowOverlap="1" wp14:anchorId="2435A2B6" wp14:editId="577CC027">
            <wp:simplePos x="0" y="0"/>
            <wp:positionH relativeFrom="page">
              <wp:posOffset>1285240</wp:posOffset>
            </wp:positionH>
            <wp:positionV relativeFrom="page">
              <wp:posOffset>1321435</wp:posOffset>
            </wp:positionV>
            <wp:extent cx="5568315" cy="3536950"/>
            <wp:effectExtent l="57150" t="57150" r="89535" b="101600"/>
            <wp:wrapSquare wrapText="bothSides"/>
            <wp:docPr id="195302015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020155" name="Picture 83"/>
                    <pic:cNvPicPr/>
                  </pic:nvPicPr>
                  <pic:blipFill>
                    <a:blip r:embed="rId95"/>
                    <a:stretch>
                      <a:fillRect/>
                    </a:stretch>
                  </pic:blipFill>
                  <pic:spPr>
                    <a:xfrm>
                      <a:off x="0" y="0"/>
                      <a:ext cx="5568315" cy="3536950"/>
                    </a:xfrm>
                    <a:prstGeom prst="rect">
                      <a:avLst/>
                    </a:prstGeom>
                    <a:ln w="12700">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869D3">
        <w:rPr>
          <w:rFonts w:ascii="Calibri" w:hAnsi="Calibri"/>
          <w:noProof/>
        </w:rPr>
        <mc:AlternateContent>
          <mc:Choice Requires="wps">
            <w:drawing>
              <wp:anchor distT="0" distB="0" distL="114300" distR="114300" simplePos="0" relativeHeight="252233216" behindDoc="0" locked="0" layoutInCell="1" allowOverlap="1" wp14:anchorId="6BE5BDFD" wp14:editId="34091244">
                <wp:simplePos x="0" y="0"/>
                <wp:positionH relativeFrom="column">
                  <wp:posOffset>3185795</wp:posOffset>
                </wp:positionH>
                <wp:positionV relativeFrom="page">
                  <wp:posOffset>4869180</wp:posOffset>
                </wp:positionV>
                <wp:extent cx="2757170" cy="233045"/>
                <wp:effectExtent l="0" t="0" r="0" b="0"/>
                <wp:wrapSquare wrapText="bothSides"/>
                <wp:docPr id="194556921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17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32CC32F" w14:textId="5D069B06" w:rsidR="00B869D3" w:rsidRPr="005430F9" w:rsidRDefault="00B869D3" w:rsidP="00B869D3">
                            <w:pPr>
                              <w:ind w:left="-90"/>
                              <w:jc w:val="right"/>
                              <w:rPr>
                                <w:rFonts w:ascii="Cambria" w:hAnsi="Cambria"/>
                                <w:i/>
                                <w:iCs/>
                                <w:sz w:val="16"/>
                                <w:szCs w:val="16"/>
                              </w:rPr>
                            </w:pPr>
                            <w:r>
                              <w:rPr>
                                <w:rFonts w:ascii="Cambria" w:hAnsi="Cambria"/>
                                <w:i/>
                                <w:iCs/>
                                <w:sz w:val="16"/>
                                <w:szCs w:val="16"/>
                              </w:rPr>
                              <w:t>Photo credit: Stephen via Adobe Stock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5BDFD" id="_x0000_s1041" type="#_x0000_t202" style="position:absolute;left:0;text-align:left;margin-left:250.85pt;margin-top:383.4pt;width:217.1pt;height:18.35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" filled="f" stroked="f" strokeweight="1pt">
                <v:textbox>
                  <w:txbxContent>
                    <w:p w14:paraId="732CC32F" w14:textId="5D069B06" w:rsidR="00B869D3" w:rsidRPr="005430F9" w:rsidRDefault="00B869D3" w:rsidP="00B869D3">
                      <w:pPr>
                        <w:ind w:left="-90"/>
                        <w:jc w:val="right"/>
                        <w:rPr>
                          <w:rFonts w:ascii="Cambria" w:hAnsi="Cambria"/>
                          <w:i/>
                          <w:iCs/>
                          <w:sz w:val="16"/>
                          <w:szCs w:val="16"/>
                        </w:rPr>
                      </w:pPr>
                      <w:r>
                        <w:rPr>
                          <w:rFonts w:ascii="Cambria" w:hAnsi="Cambria"/>
                          <w:i/>
                          <w:iCs/>
                          <w:sz w:val="16"/>
                          <w:szCs w:val="16"/>
                        </w:rPr>
                        <w:t>Photo credit: Stephen via Adobe Stock</w:t>
                      </w:r>
                    </w:p>
                  </w:txbxContent>
                </v:textbox>
                <w10:wrap type="square" anchory="page"/>
              </v:shape>
            </w:pict>
          </mc:Fallback>
        </mc:AlternateContent>
      </w:r>
      <w:r w:rsidR="00A32CB7" w:rsidRPr="00DF5520">
        <w:rPr>
          <w:b/>
          <w:bCs/>
          <w:u w:val="single"/>
        </w:rPr>
        <w:t>Anti-Deficiency Act</w:t>
      </w:r>
    </w:p>
    <w:p w14:paraId="00F00CC2" w14:textId="16D3A720" w:rsidR="00A32CB7" w:rsidRPr="00DF5520" w:rsidRDefault="00A32CB7" w:rsidP="0019237F">
      <w:pPr>
        <w:pStyle w:val="CambriaNormal"/>
        <w:spacing w:line="276" w:lineRule="auto"/>
        <w:ind w:left="720"/>
        <w:rPr>
          <w:b/>
          <w:bCs/>
          <w:u w:val="single"/>
        </w:rPr>
      </w:pPr>
      <w:r w:rsidRPr="00DF5520">
        <w:t xml:space="preserve">The Anti-Deficiency Act </w:t>
      </w:r>
      <w:r w:rsidR="00E56FEF">
        <w:t xml:space="preserve">comprises several statutes </w:t>
      </w:r>
      <w:r w:rsidR="00E56FEF" w:rsidRPr="00DF5520">
        <w:t>(</w:t>
      </w:r>
      <w:r w:rsidR="00E56FEF" w:rsidRPr="00AC59B8">
        <w:t>see</w:t>
      </w:r>
      <w:r w:rsidR="00E56FEF">
        <w:t xml:space="preserve"> </w:t>
      </w:r>
      <w:r w:rsidRPr="00DF5520">
        <w:t>31 U.S.C. §</w:t>
      </w:r>
      <w:r w:rsidR="00E56FEF" w:rsidRPr="00DF5520">
        <w:t>§</w:t>
      </w:r>
      <w:r w:rsidRPr="00DF5520">
        <w:t xml:space="preserve"> 1341</w:t>
      </w:r>
      <w:r w:rsidR="00E56FEF">
        <w:t>, 1342, 1350,</w:t>
      </w:r>
      <w:r w:rsidRPr="00DF5520">
        <w:t xml:space="preserve"> and 15</w:t>
      </w:r>
      <w:r w:rsidR="00E56FEF">
        <w:t>11</w:t>
      </w:r>
      <w:r w:rsidR="0058101D">
        <w:t>–</w:t>
      </w:r>
      <w:r w:rsidR="00E56FEF">
        <w:t>1519</w:t>
      </w:r>
      <w:r w:rsidRPr="00DF5520">
        <w:t xml:space="preserve">) </w:t>
      </w:r>
      <w:r w:rsidR="00E56FEF" w:rsidRPr="00E56FEF">
        <w:t>that mandate administrative and criminal sanctions for the unlawful use of appropriated funds (e.g.,</w:t>
      </w:r>
      <w:r w:rsidRPr="00DF5520">
        <w:t xml:space="preserve"> expending</w:t>
      </w:r>
      <w:r w:rsidR="00E56FEF">
        <w:t xml:space="preserve"> or authorizing an obligation or expenditure of</w:t>
      </w:r>
      <w:r w:rsidRPr="00DF5520">
        <w:t xml:space="preserve"> federal funds </w:t>
      </w:r>
      <w:proofErr w:type="gramStart"/>
      <w:r w:rsidRPr="00DF5520">
        <w:t>in excess of</w:t>
      </w:r>
      <w:proofErr w:type="gramEnd"/>
      <w:r w:rsidRPr="00DF5520">
        <w:t xml:space="preserve"> </w:t>
      </w:r>
      <w:r w:rsidR="00E56FEF">
        <w:t>an</w:t>
      </w:r>
      <w:r w:rsidR="00E56FEF" w:rsidRPr="00DF5520">
        <w:t xml:space="preserve"> </w:t>
      </w:r>
      <w:r w:rsidRPr="00DF5520">
        <w:t>appropriation</w:t>
      </w:r>
      <w:r w:rsidR="00E56FEF">
        <w:t xml:space="preserve">; </w:t>
      </w:r>
      <w:r w:rsidR="00E56FEF" w:rsidRPr="00E56FEF">
        <w:t>incurring an obligation in advance of an appropriation, unless authorized by law; accepting voluntary services)</w:t>
      </w:r>
      <w:r w:rsidRPr="00DF5520">
        <w:t xml:space="preserve">. The agency’s financial system </w:t>
      </w:r>
      <w:r w:rsidR="00335E58">
        <w:t>i</w:t>
      </w:r>
      <w:r w:rsidRPr="00DF5520">
        <w:t xml:space="preserve">s designed to prevent Anti-Deficiency Act violations through the implementation of a zero-tolerance funds control check at the fund and office level. This systematic control ensures that obligations are not recorded until monies are authorized and allotted by the </w:t>
      </w:r>
      <w:r>
        <w:t>Office of the Chief Financial Officer (</w:t>
      </w:r>
      <w:r w:rsidRPr="00DF5520">
        <w:t>OCFO</w:t>
      </w:r>
      <w:r>
        <w:t>)</w:t>
      </w:r>
      <w:r w:rsidRPr="00DF5520">
        <w:t xml:space="preserve">. </w:t>
      </w:r>
      <w:r w:rsidR="0000013A">
        <w:t xml:space="preserve">Further, OCFO regularly attends, and periodically </w:t>
      </w:r>
      <w:proofErr w:type="gramStart"/>
      <w:r w:rsidR="0000013A">
        <w:t>provides to all staff,</w:t>
      </w:r>
      <w:proofErr w:type="gramEnd"/>
      <w:r w:rsidR="0000013A">
        <w:t xml:space="preserve"> </w:t>
      </w:r>
      <w:r w:rsidR="0000013A" w:rsidRPr="0000013A">
        <w:t xml:space="preserve">training </w:t>
      </w:r>
      <w:r w:rsidR="0000013A">
        <w:t xml:space="preserve">sessions </w:t>
      </w:r>
      <w:r w:rsidR="0000013A" w:rsidRPr="0000013A">
        <w:t>to ensure they understand the requirements of the Anti-Deficiency Act and other relevant financial regulations. These programs often include workshops, seminars, and online courses</w:t>
      </w:r>
      <w:r w:rsidR="0000013A">
        <w:t xml:space="preserve">. </w:t>
      </w:r>
    </w:p>
    <w:bookmarkEnd w:id="98"/>
    <w:p w14:paraId="5B0B2FE9" w14:textId="0C9E4DB6" w:rsidR="00285223" w:rsidRDefault="00A32CB7" w:rsidP="00A32CB7">
      <w:pPr>
        <w:pStyle w:val="Cambriabold"/>
        <w:spacing w:line="240" w:lineRule="auto"/>
        <w:sectPr w:rsidR="00285223" w:rsidSect="00A47B91">
          <w:headerReference w:type="default" r:id="rId96"/>
          <w:pgSz w:w="12240" w:h="15840"/>
          <w:pgMar w:top="1871" w:right="1440" w:bottom="1080" w:left="1440" w:header="450" w:footer="720" w:gutter="0"/>
          <w:cols w:space="720"/>
          <w:docGrid w:linePitch="360"/>
        </w:sectPr>
      </w:pPr>
      <w:r w:rsidRPr="000C50CC">
        <w:br w:type="page"/>
      </w:r>
    </w:p>
    <w:p w14:paraId="3ABE1126" w14:textId="78A79131" w:rsidR="00A32CB7" w:rsidRPr="000C50CC" w:rsidRDefault="00D609E6" w:rsidP="00A32CB7">
      <w:pPr>
        <w:pStyle w:val="Cambriabold"/>
        <w:spacing w:line="240" w:lineRule="auto"/>
      </w:pPr>
      <w:r w:rsidRPr="00182D44">
        <w:rPr>
          <w:b w:val="0"/>
          <w:bCs w:val="0"/>
          <w:caps/>
          <w:noProof/>
          <w:color w:val="4A66AC" w:themeColor="accent1"/>
          <w:spacing w:val="40"/>
        </w:rPr>
        <w:lastRenderedPageBreak/>
        <w:drawing>
          <wp:anchor distT="0" distB="0" distL="114300" distR="114300" simplePos="0" relativeHeight="251756032" behindDoc="0" locked="0" layoutInCell="1" allowOverlap="1" wp14:anchorId="4F6E188A" wp14:editId="07953EE5">
            <wp:simplePos x="0" y="0"/>
            <wp:positionH relativeFrom="margin">
              <wp:posOffset>1952625</wp:posOffset>
            </wp:positionH>
            <wp:positionV relativeFrom="margin">
              <wp:posOffset>2089150</wp:posOffset>
            </wp:positionV>
            <wp:extent cx="2033270" cy="2001520"/>
            <wp:effectExtent l="0" t="0" r="5080" b="0"/>
            <wp:wrapSquare wrapText="bothSides"/>
            <wp:docPr id="25124888"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3270" cy="2001520"/>
                    </a:xfrm>
                    <a:prstGeom prst="rect">
                      <a:avLst/>
                    </a:prstGeom>
                  </pic:spPr>
                </pic:pic>
              </a:graphicData>
            </a:graphic>
            <wp14:sizeRelH relativeFrom="margin">
              <wp14:pctWidth>0</wp14:pctWidth>
            </wp14:sizeRelH>
            <wp14:sizeRelV relativeFrom="margin">
              <wp14:pctHeight>0</wp14:pctHeight>
            </wp14:sizeRelV>
          </wp:anchor>
        </w:drawing>
      </w:r>
      <w:r w:rsidR="00B65209">
        <w:rPr>
          <w:noProof/>
        </w:rPr>
        <mc:AlternateContent>
          <mc:Choice Requires="wps">
            <w:drawing>
              <wp:anchor distT="45720" distB="45720" distL="114300" distR="114300" simplePos="0" relativeHeight="251755008" behindDoc="0" locked="0" layoutInCell="1" allowOverlap="1" wp14:anchorId="7F33817D" wp14:editId="632CD107">
                <wp:simplePos x="0" y="0"/>
                <wp:positionH relativeFrom="margin">
                  <wp:posOffset>-914400</wp:posOffset>
                </wp:positionH>
                <wp:positionV relativeFrom="paragraph">
                  <wp:posOffset>321310</wp:posOffset>
                </wp:positionV>
                <wp:extent cx="7757160" cy="1765300"/>
                <wp:effectExtent l="0" t="0" r="0" b="6350"/>
                <wp:wrapSquare wrapText="bothSides"/>
                <wp:docPr id="1610221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7160" cy="1765300"/>
                        </a:xfrm>
                        <a:prstGeom prst="rect">
                          <a:avLst/>
                        </a:prstGeom>
                        <a:noFill/>
                        <a:ln w="9525">
                          <a:noFill/>
                          <a:miter lim="800000"/>
                          <a:headEnd/>
                          <a:tailEnd/>
                        </a:ln>
                      </wps:spPr>
                      <wps:txbx>
                        <w:txbxContent>
                          <w:p w14:paraId="6C341A8B" w14:textId="13040414" w:rsidR="00807F1C" w:rsidRPr="000E6D50" w:rsidRDefault="000E6D50" w:rsidP="00807F1C">
                            <w:pPr>
                              <w:jc w:val="center"/>
                              <w:rPr>
                                <w:smallCaps/>
                                <w:color w:val="FFFFFF" w:themeColor="background1"/>
                                <w:spacing w:val="40"/>
                                <w:sz w:val="72"/>
                                <w:szCs w:val="72"/>
                              </w:rPr>
                            </w:pPr>
                            <w:r w:rsidRPr="000E6D50">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Financial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3817D" id="_x0000_s1042" type="#_x0000_t202" style="position:absolute;left:0;text-align:left;margin-left:-1in;margin-top:25.3pt;width:610.8pt;height:139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" filled="f" stroked="f">
                <v:textbox>
                  <w:txbxContent>
                    <w:p w14:paraId="6C341A8B" w14:textId="13040414" w:rsidR="00807F1C" w:rsidRPr="000E6D50" w:rsidRDefault="000E6D50" w:rsidP="00807F1C">
                      <w:pPr>
                        <w:jc w:val="center"/>
                        <w:rPr>
                          <w:smallCaps/>
                          <w:color w:val="FFFFFF" w:themeColor="background1"/>
                          <w:spacing w:val="40"/>
                          <w:sz w:val="72"/>
                          <w:szCs w:val="72"/>
                        </w:rPr>
                      </w:pPr>
                      <w:r w:rsidRPr="000E6D50">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Financial Section</w:t>
                      </w:r>
                    </w:p>
                  </w:txbxContent>
                </v:textbox>
                <w10:wrap type="square" anchorx="margin"/>
              </v:shape>
            </w:pict>
          </mc:Fallback>
        </mc:AlternateContent>
      </w:r>
      <w:r w:rsidR="00992C7B">
        <w:rPr>
          <w:noProof/>
        </w:rPr>
        <mc:AlternateContent>
          <mc:Choice Requires="wps">
            <w:drawing>
              <wp:anchor distT="0" distB="0" distL="114300" distR="114300" simplePos="0" relativeHeight="251859455" behindDoc="1" locked="0" layoutInCell="1" allowOverlap="1" wp14:anchorId="41EE48E7" wp14:editId="191F2D14">
                <wp:simplePos x="0" y="0"/>
                <wp:positionH relativeFrom="column">
                  <wp:posOffset>-1644650</wp:posOffset>
                </wp:positionH>
                <wp:positionV relativeFrom="paragraph">
                  <wp:posOffset>-1273810</wp:posOffset>
                </wp:positionV>
                <wp:extent cx="8610600" cy="11666220"/>
                <wp:effectExtent l="57150" t="0" r="76200" b="125730"/>
                <wp:wrapNone/>
                <wp:docPr id="1355336263" name="Rectangle 27"/>
                <wp:cNvGraphicFramePr/>
                <a:graphic xmlns:a="http://schemas.openxmlformats.org/drawingml/2006/main">
                  <a:graphicData uri="http://schemas.microsoft.com/office/word/2010/wordprocessingShape">
                    <wps:wsp>
                      <wps:cNvSpPr/>
                      <wps:spPr>
                        <a:xfrm>
                          <a:off x="0" y="0"/>
                          <a:ext cx="8610600" cy="11666220"/>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C14E3" id="Rectangle 27" o:spid="_x0000_s1026" style="position:absolute;margin-left:-129.5pt;margin-top:-100.3pt;width:678pt;height:918.6pt;z-index:-251457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" fillcolor="#424e62" strokecolor="#0b0f19 [484]" strokeweight="1pt">
                <v:shadow on="t" color="black" offset="0,4pt"/>
              </v:rect>
            </w:pict>
          </mc:Fallback>
        </mc:AlternateContent>
      </w:r>
    </w:p>
    <w:p w14:paraId="5DDD6C04" w14:textId="3A3F490D" w:rsidR="00CB461E" w:rsidRPr="00AD7A93" w:rsidRDefault="00CB461E" w:rsidP="00AD7A93">
      <w:pPr>
        <w:pStyle w:val="Heading1"/>
        <w:ind w:left="3600" w:firstLine="720"/>
        <w:rPr>
          <w:color w:val="3F426F"/>
          <w:sz w:val="4"/>
          <w:szCs w:val="4"/>
        </w:rPr>
      </w:pPr>
      <w:bookmarkStart w:id="99" w:name="_Financial_Section"/>
      <w:bookmarkStart w:id="100" w:name="_Toc213421242"/>
      <w:bookmarkStart w:id="101" w:name="_Toc85212085"/>
      <w:bookmarkStart w:id="102" w:name="_Toc86327258"/>
      <w:bookmarkEnd w:id="35"/>
      <w:bookmarkEnd w:id="99"/>
      <w:r w:rsidRPr="00AD7A93">
        <w:rPr>
          <w:color w:val="3F426F"/>
          <w:sz w:val="4"/>
          <w:szCs w:val="4"/>
        </w:rPr>
        <w:t>Financial Section</w:t>
      </w:r>
      <w:bookmarkEnd w:id="100"/>
    </w:p>
    <w:p w14:paraId="4E66B562" w14:textId="42755844" w:rsidR="00807F1C" w:rsidRDefault="00807F1C">
      <w:pPr>
        <w:rPr>
          <w:rFonts w:ascii="Cambria" w:eastAsia="Calibri" w:hAnsi="Cambria" w:cs="Times New Roman"/>
          <w:b/>
          <w:smallCaps/>
          <w:color w:val="2F5496"/>
          <w:sz w:val="40"/>
          <w:szCs w:val="40"/>
        </w:rPr>
      </w:pPr>
      <w:r>
        <w:br w:type="page"/>
      </w:r>
    </w:p>
    <w:p w14:paraId="1ADD5042" w14:textId="4D437880" w:rsidR="00030A0D" w:rsidRPr="00D32A5F" w:rsidRDefault="00030A0D" w:rsidP="00030A0D">
      <w:pPr>
        <w:pStyle w:val="Heading2"/>
        <w:spacing w:before="0" w:after="0"/>
        <w:rPr>
          <w:color w:val="FFFFFF" w:themeColor="background1"/>
          <w:sz w:val="24"/>
          <w:szCs w:val="24"/>
        </w:rPr>
      </w:pPr>
      <w:bookmarkStart w:id="103" w:name="_Toc213421243"/>
      <w:bookmarkEnd w:id="101"/>
      <w:bookmarkEnd w:id="102"/>
      <w:r w:rsidRPr="00D32A5F">
        <w:rPr>
          <w:color w:val="FFFFFF" w:themeColor="background1"/>
          <w:sz w:val="2"/>
          <w:szCs w:val="2"/>
        </w:rPr>
        <w:lastRenderedPageBreak/>
        <w:t>Message from the Chief Financial Officer</w:t>
      </w:r>
      <w:bookmarkEnd w:id="103"/>
    </w:p>
    <w:p w14:paraId="1AC8C6CF" w14:textId="06F26354" w:rsidR="00473235" w:rsidRPr="005E2DC0" w:rsidRDefault="00473235" w:rsidP="00473235">
      <w:pPr>
        <w:jc w:val="both"/>
        <w:rPr>
          <w:rFonts w:ascii="Cambria" w:hAnsi="Cambria"/>
        </w:rPr>
      </w:pPr>
      <w:r w:rsidRPr="005E2DC0">
        <w:rPr>
          <w:rFonts w:ascii="Cambria" w:hAnsi="Cambria"/>
        </w:rPr>
        <w:t xml:space="preserve">On behalf of the dedicated staff of </w:t>
      </w:r>
      <w:r>
        <w:rPr>
          <w:rFonts w:ascii="Cambria" w:hAnsi="Cambria"/>
        </w:rPr>
        <w:t>PCLOB,</w:t>
      </w:r>
      <w:r w:rsidRPr="005E2DC0">
        <w:rPr>
          <w:rFonts w:ascii="Cambria" w:hAnsi="Cambria"/>
        </w:rPr>
        <w:t xml:space="preserve"> it is my honor to present the Fiscal Year 2025 </w:t>
      </w:r>
      <w:r>
        <w:rPr>
          <w:rFonts w:ascii="Cambria" w:hAnsi="Cambria"/>
        </w:rPr>
        <w:t>AFR</w:t>
      </w:r>
      <w:r w:rsidRPr="005E2DC0">
        <w:rPr>
          <w:rFonts w:ascii="Cambria" w:hAnsi="Cambria"/>
        </w:rPr>
        <w:t xml:space="preserve">. This document not only provides a transparent account of our financial position but also illustrates our unwavering commitment to sound management and operational excellence. My consolidated leadership responsibilities as </w:t>
      </w:r>
      <w:r w:rsidR="00327989">
        <w:rPr>
          <w:rFonts w:ascii="Cambria" w:hAnsi="Cambria"/>
        </w:rPr>
        <w:t>CFO,</w:t>
      </w:r>
      <w:r w:rsidRPr="005E2DC0">
        <w:rPr>
          <w:rFonts w:ascii="Cambria" w:hAnsi="Cambria"/>
        </w:rPr>
        <w:t xml:space="preserve"> PIO, and Deputy Executive Director </w:t>
      </w:r>
      <w:r w:rsidR="00AA113B">
        <w:rPr>
          <w:rFonts w:ascii="Cambria" w:hAnsi="Cambria"/>
        </w:rPr>
        <w:t>for</w:t>
      </w:r>
      <w:r w:rsidRPr="005E2DC0">
        <w:rPr>
          <w:rFonts w:ascii="Cambria" w:hAnsi="Cambria"/>
        </w:rPr>
        <w:t xml:space="preserve"> Operations provide a unique perspective on this commitment. This integrated role is crucial for maximizing PCLOB</w:t>
      </w:r>
      <w:r w:rsidR="000062AC">
        <w:rPr>
          <w:rFonts w:ascii="Cambria" w:hAnsi="Cambria"/>
        </w:rPr>
        <w:t>’</w:t>
      </w:r>
      <w:r w:rsidRPr="005E2DC0">
        <w:rPr>
          <w:rFonts w:ascii="Cambria" w:hAnsi="Cambria"/>
        </w:rPr>
        <w:t>s effectiveness as a small, independent oversight agency.</w:t>
      </w:r>
    </w:p>
    <w:p w14:paraId="237FC22D" w14:textId="79D99E87" w:rsidR="00473235" w:rsidRPr="005E2DC0" w:rsidRDefault="00473235" w:rsidP="00473235">
      <w:pPr>
        <w:jc w:val="both"/>
        <w:rPr>
          <w:rFonts w:ascii="Cambria" w:hAnsi="Cambria"/>
        </w:rPr>
      </w:pPr>
      <w:r w:rsidRPr="005E2DC0">
        <w:rPr>
          <w:rFonts w:ascii="Cambria" w:hAnsi="Cambria"/>
        </w:rPr>
        <w:t xml:space="preserve">In my capacity as CFO, I am the ultimate steward of the public funds entrusted to PCLOB. In FY 2025, we once again achieved an unmodified, or </w:t>
      </w:r>
      <w:r w:rsidR="000062AC">
        <w:rPr>
          <w:rFonts w:ascii="Cambria" w:hAnsi="Cambria"/>
        </w:rPr>
        <w:t>“</w:t>
      </w:r>
      <w:r w:rsidRPr="005E2DC0">
        <w:rPr>
          <w:rFonts w:ascii="Cambria" w:hAnsi="Cambria"/>
        </w:rPr>
        <w:t>clean,</w:t>
      </w:r>
      <w:r w:rsidR="000062AC">
        <w:rPr>
          <w:rFonts w:ascii="Cambria" w:hAnsi="Cambria"/>
        </w:rPr>
        <w:t>”</w:t>
      </w:r>
      <w:r w:rsidRPr="005E2DC0">
        <w:rPr>
          <w:rFonts w:ascii="Cambria" w:hAnsi="Cambria"/>
        </w:rPr>
        <w:t xml:space="preserve"> audit opinion, reflecting our meticulous approach to financial reporting and internal controls. Our team</w:t>
      </w:r>
      <w:r w:rsidR="000062AC">
        <w:rPr>
          <w:rFonts w:ascii="Cambria" w:hAnsi="Cambria"/>
        </w:rPr>
        <w:t>’</w:t>
      </w:r>
      <w:r w:rsidRPr="005E2DC0">
        <w:rPr>
          <w:rFonts w:ascii="Cambria" w:hAnsi="Cambria"/>
        </w:rPr>
        <w:t>s diligence in budget formulation, execution, and monitoring ensures that every dollar is used to advance our core mission of balancing counterterrorism efforts with the protection of privacy and civil liberties. This fiscal prudence is fundamental to demonstrating our accountability to Congress and the American public.</w:t>
      </w:r>
    </w:p>
    <w:p w14:paraId="7748FD0E" w14:textId="74F75024" w:rsidR="00473235" w:rsidRPr="005E2DC0" w:rsidRDefault="00473235" w:rsidP="00473235">
      <w:pPr>
        <w:jc w:val="both"/>
        <w:rPr>
          <w:rFonts w:ascii="Cambria" w:hAnsi="Cambria"/>
        </w:rPr>
      </w:pPr>
      <w:r w:rsidRPr="005E2DC0">
        <w:rPr>
          <w:rFonts w:ascii="Cambria" w:hAnsi="Cambria"/>
        </w:rPr>
        <w:t xml:space="preserve">This financial accountability is seamlessly integrated with my function as the </w:t>
      </w:r>
      <w:r w:rsidR="008242CE">
        <w:rPr>
          <w:rFonts w:ascii="Cambria" w:hAnsi="Cambria"/>
        </w:rPr>
        <w:t>PIO</w:t>
      </w:r>
      <w:r w:rsidRPr="005E2DC0">
        <w:rPr>
          <w:rFonts w:ascii="Cambria" w:hAnsi="Cambria"/>
        </w:rPr>
        <w:t>. In FY 2025, we continued to mature the agency</w:t>
      </w:r>
      <w:r w:rsidR="000062AC">
        <w:rPr>
          <w:rFonts w:ascii="Cambria" w:hAnsi="Cambria"/>
        </w:rPr>
        <w:t>’</w:t>
      </w:r>
      <w:r w:rsidRPr="005E2DC0">
        <w:rPr>
          <w:rFonts w:ascii="Cambria" w:hAnsi="Cambria"/>
        </w:rPr>
        <w:t>s performance framework, tying financial resources directly to PCLOB</w:t>
      </w:r>
      <w:r w:rsidR="000062AC">
        <w:rPr>
          <w:rFonts w:ascii="Cambria" w:hAnsi="Cambria"/>
        </w:rPr>
        <w:t>’</w:t>
      </w:r>
      <w:r w:rsidRPr="005E2DC0">
        <w:rPr>
          <w:rFonts w:ascii="Cambria" w:hAnsi="Cambria"/>
        </w:rPr>
        <w:t>s strategic goals and operational priorities. We have focused on key areas, including enhancing our review processes for executive branch counterterrorism policies and refining our public reporting on privacy and civil liberties issues. By leveraging performance data, we make more informed decisions about resource allocation, ensuring that PCLOB</w:t>
      </w:r>
      <w:r w:rsidR="000062AC">
        <w:rPr>
          <w:rFonts w:ascii="Cambria" w:hAnsi="Cambria"/>
        </w:rPr>
        <w:t>’</w:t>
      </w:r>
      <w:r w:rsidRPr="005E2DC0">
        <w:rPr>
          <w:rFonts w:ascii="Cambria" w:hAnsi="Cambria"/>
        </w:rPr>
        <w:t>s work is not only financially sound but also strategically effective. This integrated view allows me to assess how our budget supports performance outcomes, leading to a more efficient and impactful organization.</w:t>
      </w:r>
    </w:p>
    <w:p w14:paraId="4620F194" w14:textId="75B0C9E8" w:rsidR="00473235" w:rsidRPr="005E2DC0" w:rsidRDefault="00473235" w:rsidP="00473235">
      <w:pPr>
        <w:jc w:val="both"/>
        <w:rPr>
          <w:rFonts w:ascii="Cambria" w:hAnsi="Cambria"/>
        </w:rPr>
      </w:pPr>
      <w:r w:rsidRPr="005E2DC0">
        <w:rPr>
          <w:rFonts w:ascii="Cambria" w:hAnsi="Cambria"/>
        </w:rPr>
        <w:t xml:space="preserve">As Deputy Executive Director </w:t>
      </w:r>
      <w:r w:rsidR="007812C2">
        <w:rPr>
          <w:rFonts w:ascii="Cambria" w:hAnsi="Cambria"/>
        </w:rPr>
        <w:t>for</w:t>
      </w:r>
      <w:r w:rsidRPr="005E2DC0">
        <w:rPr>
          <w:rFonts w:ascii="Cambria" w:hAnsi="Cambria"/>
        </w:rPr>
        <w:t xml:space="preserve"> Operations, my focus is on the people and processes that power PCLOB</w:t>
      </w:r>
      <w:r w:rsidR="000062AC">
        <w:rPr>
          <w:rFonts w:ascii="Cambria" w:hAnsi="Cambria"/>
        </w:rPr>
        <w:t>’</w:t>
      </w:r>
      <w:r w:rsidRPr="005E2DC0">
        <w:rPr>
          <w:rFonts w:ascii="Cambria" w:hAnsi="Cambria"/>
        </w:rPr>
        <w:t xml:space="preserve">s mission. In FY 2025, we continued our emphasis on strengthening institutional capacity, from </w:t>
      </w:r>
      <w:r>
        <w:rPr>
          <w:rFonts w:ascii="Cambria" w:hAnsi="Cambria"/>
        </w:rPr>
        <w:t>further developing our highly</w:t>
      </w:r>
      <w:r w:rsidRPr="005E2DC0">
        <w:rPr>
          <w:rFonts w:ascii="Cambria" w:hAnsi="Cambria"/>
        </w:rPr>
        <w:t xml:space="preserve"> skilled workforce to refining our internal policies and governance. In a complex operational environment, particularly as our agency navigates issues related to classified information, emerging technologies, and a changing policy landscape, ensuring robust, efficient, and well-supported operations is paramount. My operational oversight ensures that our staff have the resources and support needed to deliver on </w:t>
      </w:r>
      <w:r>
        <w:rPr>
          <w:rFonts w:ascii="Cambria" w:hAnsi="Cambria"/>
        </w:rPr>
        <w:t>PCLOB</w:t>
      </w:r>
      <w:r w:rsidR="000062AC">
        <w:rPr>
          <w:rFonts w:ascii="Cambria" w:hAnsi="Cambria"/>
        </w:rPr>
        <w:t>’</w:t>
      </w:r>
      <w:r w:rsidRPr="005E2DC0">
        <w:rPr>
          <w:rFonts w:ascii="Cambria" w:hAnsi="Cambria"/>
        </w:rPr>
        <w:t>s critical oversight and advisory functions.</w:t>
      </w:r>
    </w:p>
    <w:p w14:paraId="78E09F64" w14:textId="6E0C95CB" w:rsidR="00473235" w:rsidRPr="005E2DC0" w:rsidRDefault="008D61DA" w:rsidP="00473235">
      <w:pPr>
        <w:jc w:val="both"/>
        <w:rPr>
          <w:rFonts w:ascii="Cambria" w:hAnsi="Cambria"/>
        </w:rPr>
      </w:pPr>
      <w:r>
        <w:rPr>
          <w:noProof/>
          <w:sz w:val="24"/>
          <w:szCs w:val="24"/>
        </w:rPr>
        <w:drawing>
          <wp:anchor distT="0" distB="0" distL="114300" distR="114300" simplePos="0" relativeHeight="252153344" behindDoc="0" locked="0" layoutInCell="1" allowOverlap="1" wp14:anchorId="02EE9E45" wp14:editId="4970CDD5">
            <wp:simplePos x="0" y="0"/>
            <wp:positionH relativeFrom="margin">
              <wp:posOffset>-36830</wp:posOffset>
            </wp:positionH>
            <wp:positionV relativeFrom="page">
              <wp:posOffset>7767375</wp:posOffset>
            </wp:positionV>
            <wp:extent cx="1148080" cy="443230"/>
            <wp:effectExtent l="0" t="0" r="0" b="0"/>
            <wp:wrapSquare wrapText="bothSides"/>
            <wp:docPr id="1475957098" name="Picture 90" descr="A picture containing insect, line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57098" name="Picture 90" descr="A picture containing insect, linedrawing&#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48080" cy="443230"/>
                    </a:xfrm>
                    <a:prstGeom prst="rect">
                      <a:avLst/>
                    </a:prstGeom>
                    <a:noFill/>
                  </pic:spPr>
                </pic:pic>
              </a:graphicData>
            </a:graphic>
            <wp14:sizeRelH relativeFrom="page">
              <wp14:pctWidth>0</wp14:pctWidth>
            </wp14:sizeRelH>
            <wp14:sizeRelV relativeFrom="page">
              <wp14:pctHeight>0</wp14:pctHeight>
            </wp14:sizeRelV>
          </wp:anchor>
        </w:drawing>
      </w:r>
      <w:r w:rsidR="00473235" w:rsidRPr="005E2DC0">
        <w:rPr>
          <w:rFonts w:ascii="Cambria" w:hAnsi="Cambria"/>
        </w:rPr>
        <w:t>The combination of these roles creates a synergy that is vital for an agency of our size. It allows for a holistic view of PCLOB, where financial strategy, performance management, and operational leadership are not siloed but are deeply interconnected. This structure enables us to respond with agility to new challenges while maintaining the highest standards of financial integrity and operational efficiency. I am deeply grateful for the commitment of the entire PCLOB staff, whose hard work and dedication make these achievements possible.</w:t>
      </w:r>
    </w:p>
    <w:p w14:paraId="5C4FBD5B" w14:textId="34F9CBCF" w:rsidR="00473235" w:rsidRDefault="00473235" w:rsidP="00473235">
      <w:pPr>
        <w:spacing w:after="0" w:line="240" w:lineRule="auto"/>
        <w:jc w:val="both"/>
        <w:rPr>
          <w:rFonts w:ascii="Cambria" w:hAnsi="Cambria"/>
        </w:rPr>
      </w:pPr>
    </w:p>
    <w:p w14:paraId="7A2039FA" w14:textId="41ED53AB" w:rsidR="00473235" w:rsidRDefault="00473235" w:rsidP="00473235">
      <w:pPr>
        <w:spacing w:after="0" w:line="240" w:lineRule="auto"/>
        <w:jc w:val="both"/>
        <w:rPr>
          <w:rFonts w:ascii="Cambria" w:hAnsi="Cambria"/>
        </w:rPr>
      </w:pPr>
    </w:p>
    <w:p w14:paraId="415D1791" w14:textId="43C77698" w:rsidR="00473235" w:rsidRDefault="00473235" w:rsidP="00473235">
      <w:pPr>
        <w:spacing w:after="0" w:line="240" w:lineRule="auto"/>
        <w:jc w:val="both"/>
        <w:rPr>
          <w:rFonts w:ascii="Cambria" w:hAnsi="Cambria"/>
        </w:rPr>
      </w:pPr>
    </w:p>
    <w:p w14:paraId="2B5DF74F" w14:textId="77777777" w:rsidR="00473235" w:rsidRPr="001C0D56" w:rsidRDefault="00473235" w:rsidP="00473235">
      <w:pPr>
        <w:spacing w:after="0" w:line="240" w:lineRule="auto"/>
        <w:jc w:val="both"/>
        <w:rPr>
          <w:rFonts w:ascii="Cambria" w:hAnsi="Cambria"/>
        </w:rPr>
      </w:pPr>
      <w:r w:rsidRPr="001C0D56">
        <w:rPr>
          <w:rFonts w:ascii="Cambria" w:hAnsi="Cambria"/>
        </w:rPr>
        <w:t xml:space="preserve">Raheel Baig </w:t>
      </w:r>
    </w:p>
    <w:p w14:paraId="4EE55F2D" w14:textId="5B3BE6B7" w:rsidR="00473235" w:rsidRPr="001C0D56" w:rsidRDefault="00473235" w:rsidP="00473235">
      <w:pPr>
        <w:spacing w:after="0" w:line="240" w:lineRule="auto"/>
        <w:jc w:val="both"/>
        <w:rPr>
          <w:rFonts w:ascii="Cambria" w:hAnsi="Cambria"/>
        </w:rPr>
      </w:pPr>
      <w:r w:rsidRPr="001C0D56">
        <w:rPr>
          <w:rFonts w:ascii="Cambria" w:hAnsi="Cambria"/>
        </w:rPr>
        <w:t xml:space="preserve">Deputy Executive Director </w:t>
      </w:r>
      <w:r w:rsidR="00AA113B">
        <w:rPr>
          <w:rFonts w:ascii="Cambria" w:hAnsi="Cambria"/>
        </w:rPr>
        <w:t>for</w:t>
      </w:r>
      <w:r w:rsidRPr="001C0D56">
        <w:rPr>
          <w:rFonts w:ascii="Cambria" w:hAnsi="Cambria"/>
        </w:rPr>
        <w:t xml:space="preserve"> Operations and Chief Financial Officer </w:t>
      </w:r>
    </w:p>
    <w:p w14:paraId="50811425" w14:textId="77777777" w:rsidR="00473235" w:rsidRPr="001C0D56" w:rsidRDefault="00473235" w:rsidP="00473235">
      <w:pPr>
        <w:spacing w:after="0" w:line="240" w:lineRule="auto"/>
        <w:jc w:val="both"/>
        <w:rPr>
          <w:rFonts w:ascii="Cambria" w:hAnsi="Cambria"/>
        </w:rPr>
      </w:pPr>
      <w:r w:rsidRPr="001C0D56">
        <w:rPr>
          <w:rFonts w:ascii="Cambria" w:hAnsi="Cambria"/>
        </w:rPr>
        <w:t>November 14, 2025</w:t>
      </w:r>
    </w:p>
    <w:p w14:paraId="3925AF32" w14:textId="77777777" w:rsidR="004C48C9" w:rsidRDefault="004C48C9" w:rsidP="004D3492">
      <w:pPr>
        <w:spacing w:after="0" w:line="240" w:lineRule="auto"/>
        <w:contextualSpacing/>
        <w:rPr>
          <w:sz w:val="24"/>
          <w:szCs w:val="24"/>
        </w:rPr>
      </w:pPr>
    </w:p>
    <w:p w14:paraId="6AF11911" w14:textId="3EF8C6BE" w:rsidR="00285223" w:rsidRDefault="00285223" w:rsidP="00BD19DA">
      <w:pPr>
        <w:spacing w:after="0" w:line="240" w:lineRule="auto"/>
        <w:jc w:val="both"/>
        <w:rPr>
          <w:rFonts w:ascii="Cambria" w:hAnsi="Cambria"/>
        </w:rPr>
        <w:sectPr w:rsidR="00285223" w:rsidSect="00182D44">
          <w:headerReference w:type="default" r:id="rId98"/>
          <w:pgSz w:w="12240" w:h="15840"/>
          <w:pgMar w:top="1980" w:right="1440" w:bottom="1080" w:left="1440" w:header="450" w:footer="720" w:gutter="0"/>
          <w:cols w:space="720"/>
          <w:titlePg/>
          <w:docGrid w:linePitch="360"/>
        </w:sectPr>
      </w:pPr>
    </w:p>
    <w:p w14:paraId="72756635" w14:textId="2DFEAD11" w:rsidR="00CA2B14" w:rsidRPr="005131D9" w:rsidRDefault="005131D9" w:rsidP="002345D3">
      <w:pPr>
        <w:pStyle w:val="Heading2"/>
        <w:rPr>
          <w:color w:val="FFFFFF" w:themeColor="background1"/>
          <w:sz w:val="2"/>
          <w:szCs w:val="2"/>
        </w:rPr>
      </w:pPr>
      <w:bookmarkStart w:id="104" w:name="_Report_of_Independent"/>
      <w:bookmarkStart w:id="105" w:name="_Toc213421244"/>
      <w:bookmarkEnd w:id="104"/>
      <w:r w:rsidRPr="00E6370C">
        <w:rPr>
          <w:noProof/>
          <w:color w:val="FFFFFF" w:themeColor="background1"/>
          <w:sz w:val="4"/>
          <w:szCs w:val="4"/>
        </w:rPr>
        <w:lastRenderedPageBreak/>
        <w:drawing>
          <wp:anchor distT="0" distB="0" distL="114300" distR="114300" simplePos="0" relativeHeight="252058112" behindDoc="0" locked="0" layoutInCell="1" allowOverlap="1" wp14:anchorId="352B820E" wp14:editId="507BB985">
            <wp:simplePos x="0" y="0"/>
            <wp:positionH relativeFrom="page">
              <wp:posOffset>859809</wp:posOffset>
            </wp:positionH>
            <wp:positionV relativeFrom="page">
              <wp:posOffset>1173707</wp:posOffset>
            </wp:positionV>
            <wp:extent cx="5964072" cy="852838"/>
            <wp:effectExtent l="0" t="0" r="0" b="4445"/>
            <wp:wrapNone/>
            <wp:docPr id="1339035704" name="Picture 1"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35704" name="Picture 1" descr="Background pattern&#10;&#10;Description automatically generated with low confidence"/>
                    <pic:cNvPicPr/>
                  </pic:nvPicPr>
                  <pic:blipFill>
                    <a:blip r:embed="rId99"/>
                    <a:stretch>
                      <a:fillRect/>
                    </a:stretch>
                  </pic:blipFill>
                  <pic:spPr>
                    <a:xfrm>
                      <a:off x="0" y="0"/>
                      <a:ext cx="5973940" cy="854249"/>
                    </a:xfrm>
                    <a:prstGeom prst="rect">
                      <a:avLst/>
                    </a:prstGeom>
                  </pic:spPr>
                </pic:pic>
              </a:graphicData>
            </a:graphic>
            <wp14:sizeRelH relativeFrom="margin">
              <wp14:pctWidth>0</wp14:pctWidth>
            </wp14:sizeRelH>
            <wp14:sizeRelV relativeFrom="margin">
              <wp14:pctHeight>0</wp14:pctHeight>
            </wp14:sizeRelV>
          </wp:anchor>
        </w:drawing>
      </w:r>
      <w:r w:rsidR="00A52152" w:rsidRPr="005131D9">
        <w:rPr>
          <w:color w:val="FFFFFF" w:themeColor="background1"/>
          <w:sz w:val="2"/>
          <w:szCs w:val="2"/>
        </w:rPr>
        <w:t>Independent Auditor</w:t>
      </w:r>
      <w:bookmarkEnd w:id="105"/>
      <w:r w:rsidRPr="005131D9">
        <w:rPr>
          <w:color w:val="FFFFFF" w:themeColor="background1"/>
          <w:sz w:val="2"/>
          <w:szCs w:val="2"/>
        </w:rPr>
        <w:t>’s Report</w:t>
      </w:r>
    </w:p>
    <w:p w14:paraId="3A96E1BF" w14:textId="55256139" w:rsidR="00470E00" w:rsidRDefault="00470E00" w:rsidP="00E6370C"/>
    <w:p w14:paraId="10DD05C7" w14:textId="573882CC" w:rsidR="00470E00" w:rsidRDefault="00470E00" w:rsidP="00E6370C"/>
    <w:p w14:paraId="62F4068F" w14:textId="77777777" w:rsidR="007812C2" w:rsidRPr="00C868AA" w:rsidRDefault="007812C2" w:rsidP="005131D9">
      <w:pPr>
        <w:autoSpaceDE w:val="0"/>
        <w:autoSpaceDN w:val="0"/>
        <w:adjustRightInd w:val="0"/>
        <w:jc w:val="center"/>
        <w:rPr>
          <w:rFonts w:ascii="Cambria" w:hAnsi="Cambria"/>
          <w:b/>
        </w:rPr>
      </w:pPr>
      <w:r w:rsidRPr="00C868AA">
        <w:rPr>
          <w:rFonts w:ascii="Cambria" w:hAnsi="Cambria"/>
          <w:b/>
        </w:rPr>
        <w:t>Independent Auditor’s Report</w:t>
      </w:r>
    </w:p>
    <w:p w14:paraId="486B132B" w14:textId="77777777" w:rsidR="007812C2" w:rsidRPr="00C868AA" w:rsidRDefault="007812C2" w:rsidP="00C868AA">
      <w:pPr>
        <w:jc w:val="both"/>
        <w:rPr>
          <w:rFonts w:ascii="Cambria" w:hAnsi="Cambria"/>
        </w:rPr>
      </w:pPr>
      <w:r w:rsidRPr="00C868AA">
        <w:rPr>
          <w:rFonts w:ascii="Cambria" w:eastAsia="Times New Roman" w:hAnsi="Cambria"/>
        </w:rPr>
        <w:t>To the Members of the Board of the Privacy and Civil Liberties Oversight Board</w:t>
      </w:r>
    </w:p>
    <w:p w14:paraId="64BA8645" w14:textId="77777777" w:rsidR="007812C2" w:rsidRPr="00C868AA" w:rsidRDefault="007812C2" w:rsidP="00C868AA">
      <w:pPr>
        <w:tabs>
          <w:tab w:val="left" w:pos="2220"/>
        </w:tabs>
        <w:autoSpaceDE w:val="0"/>
        <w:autoSpaceDN w:val="0"/>
        <w:adjustRightInd w:val="0"/>
        <w:jc w:val="both"/>
        <w:rPr>
          <w:rFonts w:ascii="Cambria" w:eastAsia="Times New Roman" w:hAnsi="Cambria"/>
          <w:b/>
        </w:rPr>
      </w:pPr>
      <w:r w:rsidRPr="00C868AA">
        <w:rPr>
          <w:rFonts w:ascii="Cambria" w:eastAsia="Times New Roman" w:hAnsi="Cambria"/>
          <w:b/>
        </w:rPr>
        <w:t xml:space="preserve">Report on the Audit </w:t>
      </w:r>
      <w:proofErr w:type="gramStart"/>
      <w:r w:rsidRPr="00C868AA">
        <w:rPr>
          <w:rFonts w:ascii="Cambria" w:eastAsia="Times New Roman" w:hAnsi="Cambria"/>
          <w:b/>
        </w:rPr>
        <w:t>of</w:t>
      </w:r>
      <w:proofErr w:type="gramEnd"/>
      <w:r w:rsidRPr="00C868AA">
        <w:rPr>
          <w:rFonts w:ascii="Cambria" w:eastAsia="Times New Roman" w:hAnsi="Cambria"/>
          <w:b/>
        </w:rPr>
        <w:t xml:space="preserve"> the Financial Statements</w:t>
      </w:r>
    </w:p>
    <w:p w14:paraId="2BA9BE99" w14:textId="77777777" w:rsidR="007812C2" w:rsidRPr="00C868AA" w:rsidRDefault="007812C2" w:rsidP="00C868AA">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Opinion</w:t>
      </w:r>
    </w:p>
    <w:p w14:paraId="2A01BE36" w14:textId="77777777" w:rsidR="007812C2" w:rsidRPr="00C868AA" w:rsidRDefault="007812C2" w:rsidP="00C868AA">
      <w:pPr>
        <w:autoSpaceDE w:val="0"/>
        <w:autoSpaceDN w:val="0"/>
        <w:adjustRightInd w:val="0"/>
        <w:jc w:val="both"/>
        <w:rPr>
          <w:rFonts w:ascii="Cambria" w:eastAsia="Times New Roman" w:hAnsi="Cambria"/>
        </w:rPr>
      </w:pPr>
      <w:r w:rsidRPr="00C868AA">
        <w:rPr>
          <w:rFonts w:ascii="Cambria" w:eastAsia="Times New Roman" w:hAnsi="Cambria"/>
        </w:rPr>
        <w:t>In accordance with the Accountability of Tax Dollars Act of 2002</w:t>
      </w:r>
      <w:r w:rsidRPr="00C868AA">
        <w:rPr>
          <w:rFonts w:ascii="Cambria" w:eastAsia="Times New Roman" w:hAnsi="Cambria"/>
          <w:i/>
          <w:iCs/>
        </w:rPr>
        <w:t>,</w:t>
      </w:r>
      <w:r w:rsidRPr="00C868AA">
        <w:rPr>
          <w:rFonts w:ascii="Cambria" w:eastAsia="Times New Roman" w:hAnsi="Cambria"/>
        </w:rPr>
        <w:t xml:space="preserve"> we have audited the Privacy and Civil Liberties Oversight Board (PCLOB) financial statements, which comprise the  balance sheet as of September 30, 2025, and the related statements of net cost, changes in net </w:t>
      </w:r>
      <w:proofErr w:type="gramStart"/>
      <w:r w:rsidRPr="00C868AA">
        <w:rPr>
          <w:rFonts w:ascii="Cambria" w:eastAsia="Times New Roman" w:hAnsi="Cambria"/>
        </w:rPr>
        <w:t>position, and</w:t>
      </w:r>
      <w:proofErr w:type="gramEnd"/>
      <w:r w:rsidRPr="00C868AA">
        <w:rPr>
          <w:rFonts w:ascii="Cambria" w:eastAsia="Times New Roman" w:hAnsi="Cambria"/>
        </w:rPr>
        <w:t xml:space="preserve"> budgetary resources for the fiscal year then ended, and the related notes to the financial statements. </w:t>
      </w:r>
    </w:p>
    <w:p w14:paraId="13A59ADE" w14:textId="77777777" w:rsidR="007812C2" w:rsidRPr="00C868AA" w:rsidRDefault="007812C2" w:rsidP="00C868AA">
      <w:pPr>
        <w:autoSpaceDE w:val="0"/>
        <w:autoSpaceDN w:val="0"/>
        <w:adjustRightInd w:val="0"/>
        <w:jc w:val="both"/>
        <w:rPr>
          <w:rFonts w:ascii="Cambria" w:eastAsia="Times New Roman" w:hAnsi="Cambria"/>
        </w:rPr>
      </w:pPr>
      <w:r w:rsidRPr="00C868AA">
        <w:rPr>
          <w:rFonts w:ascii="Cambria" w:eastAsia="Times New Roman" w:hAnsi="Cambria"/>
        </w:rPr>
        <w:t xml:space="preserve">In our opinion, PCLOB’s financial statements present fairly, in all material respects, PCLOB’s financial position as of September 30, 2025, and its net cost of operations, changes in net position, and budgetary resources for the fiscal year then ended in accordance with U.S. generally accepted accounting principles. </w:t>
      </w:r>
    </w:p>
    <w:p w14:paraId="6768AFF6" w14:textId="77777777" w:rsidR="007812C2" w:rsidRPr="00C868AA" w:rsidRDefault="007812C2" w:rsidP="00C868AA">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Basis for Opinion</w:t>
      </w:r>
    </w:p>
    <w:p w14:paraId="363363FC" w14:textId="77777777" w:rsidR="007812C2" w:rsidRPr="00C868AA" w:rsidRDefault="007812C2" w:rsidP="00C868AA">
      <w:pPr>
        <w:autoSpaceDE w:val="0"/>
        <w:autoSpaceDN w:val="0"/>
        <w:adjustRightInd w:val="0"/>
        <w:jc w:val="both"/>
        <w:rPr>
          <w:rFonts w:ascii="Cambria" w:eastAsia="Times New Roman" w:hAnsi="Cambria"/>
        </w:rPr>
      </w:pPr>
      <w:r w:rsidRPr="00C868AA">
        <w:rPr>
          <w:rFonts w:ascii="Cambria" w:eastAsia="Times New Roman" w:hAnsi="Cambria"/>
        </w:rPr>
        <w:t xml:space="preserve">We conducted our audit in accordance with U.S. generally accepted government auditing standards and guidance contained in Office of Management and Budget (OMB) Bulletin 24-02, </w:t>
      </w:r>
      <w:r w:rsidRPr="00C868AA">
        <w:rPr>
          <w:rFonts w:ascii="Cambria" w:eastAsia="Times New Roman" w:hAnsi="Cambria"/>
          <w:i/>
          <w:iCs/>
        </w:rPr>
        <w:t>Audit Requirements for Federal Financial Statements</w:t>
      </w:r>
      <w:r w:rsidRPr="00C868AA">
        <w:rPr>
          <w:rFonts w:ascii="Cambria" w:eastAsia="Times New Roman" w:hAnsi="Cambria"/>
        </w:rPr>
        <w:t>. Our responsibilities under those standards and OMB Bulletin 24-02 are further described in the Auditor’s Responsibilities for the Audit of the Financial Statements subsection of our report. We are required to be independent of the PCLOB and to meet our other ethical responsibilities, in accordance with the relevant ethical requirements relating to our audit. We believe that the audit evidence we have obtained is sufficient and appropriate to provide a basis for our audit opinion.</w:t>
      </w:r>
    </w:p>
    <w:p w14:paraId="570C3BE0" w14:textId="77777777" w:rsidR="007812C2" w:rsidRPr="00C868AA" w:rsidRDefault="007812C2" w:rsidP="00C868AA">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Responsibilities of Management for the Financial Statements</w:t>
      </w:r>
    </w:p>
    <w:p w14:paraId="0B61DC77" w14:textId="77777777" w:rsidR="007812C2" w:rsidRPr="00C868AA" w:rsidRDefault="007812C2" w:rsidP="00C868AA">
      <w:pPr>
        <w:autoSpaceDE w:val="0"/>
        <w:autoSpaceDN w:val="0"/>
        <w:adjustRightInd w:val="0"/>
        <w:jc w:val="both"/>
        <w:rPr>
          <w:rFonts w:ascii="Cambria" w:eastAsia="Times New Roman" w:hAnsi="Cambria"/>
        </w:rPr>
      </w:pPr>
      <w:r w:rsidRPr="00C868AA">
        <w:rPr>
          <w:rFonts w:ascii="Cambria" w:eastAsia="Times New Roman" w:hAnsi="Cambria"/>
        </w:rPr>
        <w:t>PCLOB Management is responsible for the (1) preparation and fair presentation of the financial statements in accordance with U.S. generally accepted accounting principles; (2) preparation, measurement, and presentation of the Required Supplementary Information (RSI) in accordance with</w:t>
      </w:r>
      <w:r w:rsidRPr="00C868AA">
        <w:rPr>
          <w:rFonts w:ascii="Cambria" w:hAnsi="Cambria"/>
        </w:rPr>
        <w:t xml:space="preserve"> </w:t>
      </w:r>
      <w:r w:rsidRPr="00C868AA">
        <w:rPr>
          <w:rFonts w:ascii="Cambria" w:eastAsia="Times New Roman" w:hAnsi="Cambria"/>
        </w:rPr>
        <w:t>U.S. generally accepted accounting principles; (3) preparation and presentation of other information included in PCLOB’s Agency Financial Report (AFR), and ensuring the consistency of that information with the audited financial statements and RSI; and (4) design, implementation, and maintenance of effective internal control relevant to the preparation and fair presentation of financial statements that are free from material misstatement, whether due to fraud or error.</w:t>
      </w:r>
    </w:p>
    <w:p w14:paraId="520CE5C7" w14:textId="77777777" w:rsidR="007812C2" w:rsidRPr="00C868AA" w:rsidRDefault="007812C2" w:rsidP="00C868AA">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Auditor’s Responsibility for the Audit of the Financial Statements</w:t>
      </w:r>
    </w:p>
    <w:p w14:paraId="04683FEE" w14:textId="15A89A63" w:rsidR="00C868AA" w:rsidRPr="00C868AA" w:rsidRDefault="007812C2" w:rsidP="00C868AA">
      <w:pPr>
        <w:jc w:val="both"/>
        <w:rPr>
          <w:rFonts w:ascii="Cambria" w:eastAsia="Times New Roman" w:hAnsi="Cambria"/>
        </w:rPr>
      </w:pPr>
      <w:r w:rsidRPr="00C868AA">
        <w:rPr>
          <w:rFonts w:ascii="Cambria" w:eastAsia="Times New Roman" w:hAnsi="Cambria"/>
        </w:rPr>
        <w:t xml:space="preserve">Our objectives are to (1) obtain reasonable assurance about whether the financial statements </w:t>
      </w:r>
      <w:proofErr w:type="gramStart"/>
      <w:r w:rsidRPr="00C868AA">
        <w:rPr>
          <w:rFonts w:ascii="Cambria" w:eastAsia="Times New Roman" w:hAnsi="Cambria"/>
        </w:rPr>
        <w:t>as a whole are</w:t>
      </w:r>
      <w:proofErr w:type="gramEnd"/>
      <w:r w:rsidRPr="00C868AA">
        <w:rPr>
          <w:rFonts w:ascii="Cambria" w:eastAsia="Times New Roman" w:hAnsi="Cambria"/>
        </w:rPr>
        <w:t xml:space="preserve"> free from material misstatement, whether due to fraud or error, and (2) issue an auditor’s report that includes our opinion. Reasonable assurance is a high level of assurance but is not absolute assurance and therefore is not a guarantee that an audit of the financial statements conducted in</w:t>
      </w:r>
    </w:p>
    <w:p w14:paraId="3E3C24A9" w14:textId="77777777" w:rsidR="00C868AA" w:rsidRPr="00C868AA" w:rsidRDefault="00C868AA" w:rsidP="00C868AA">
      <w:pPr>
        <w:pStyle w:val="Header"/>
        <w:rPr>
          <w:rFonts w:ascii="Cambria" w:hAnsi="Cambria"/>
          <w:color w:val="A6A6A6" w:themeColor="background1" w:themeShade="A6"/>
        </w:rPr>
      </w:pPr>
      <w:r w:rsidRPr="00C868AA">
        <w:rPr>
          <w:rFonts w:ascii="Cambria" w:hAnsi="Cambria"/>
          <w:color w:val="A6A6A6" w:themeColor="background1" w:themeShade="A6"/>
        </w:rPr>
        <w:lastRenderedPageBreak/>
        <w:t>Independent Auditor’s Report</w:t>
      </w:r>
    </w:p>
    <w:p w14:paraId="245749B4" w14:textId="77777777" w:rsidR="00C868AA" w:rsidRPr="00C868AA" w:rsidRDefault="00C868AA" w:rsidP="00C868AA">
      <w:pPr>
        <w:pStyle w:val="Header"/>
        <w:rPr>
          <w:rFonts w:ascii="Cambria" w:hAnsi="Cambria"/>
          <w:color w:val="A6A6A6" w:themeColor="background1" w:themeShade="A6"/>
        </w:rPr>
      </w:pPr>
      <w:r w:rsidRPr="00C868AA">
        <w:rPr>
          <w:rFonts w:ascii="Cambria" w:hAnsi="Cambria"/>
          <w:color w:val="A6A6A6" w:themeColor="background1" w:themeShade="A6"/>
        </w:rPr>
        <w:t>Page 2</w:t>
      </w:r>
    </w:p>
    <w:p w14:paraId="4E58CEA1" w14:textId="77777777" w:rsidR="00C868AA" w:rsidRPr="00C868AA" w:rsidRDefault="00C868AA" w:rsidP="00C868AA">
      <w:pPr>
        <w:pStyle w:val="Header"/>
        <w:rPr>
          <w:rFonts w:ascii="Cambria" w:hAnsi="Cambria"/>
          <w:color w:val="A6A6A6" w:themeColor="background1" w:themeShade="A6"/>
        </w:rPr>
      </w:pPr>
    </w:p>
    <w:p w14:paraId="6E2FA2DB" w14:textId="394EC561" w:rsidR="007812C2" w:rsidRPr="00C868AA" w:rsidRDefault="007812C2" w:rsidP="007812C2">
      <w:pPr>
        <w:jc w:val="both"/>
        <w:rPr>
          <w:rFonts w:ascii="Cambria" w:eastAsia="Times New Roman" w:hAnsi="Cambria"/>
        </w:rPr>
      </w:pPr>
      <w:r w:rsidRPr="00C868AA">
        <w:rPr>
          <w:rFonts w:ascii="Cambria" w:eastAsia="Times New Roman" w:hAnsi="Cambria"/>
        </w:rPr>
        <w:t>accordance with U.S. generally accepted government auditing standards and OMB guidance will always detect a material misstatement or</w:t>
      </w:r>
      <w:r w:rsidR="00C868AA" w:rsidRPr="00C868AA">
        <w:rPr>
          <w:rFonts w:ascii="Cambria" w:eastAsia="Times New Roman" w:hAnsi="Cambria"/>
        </w:rPr>
        <w:t xml:space="preserve"> </w:t>
      </w:r>
      <w:r w:rsidRPr="00C868AA">
        <w:rPr>
          <w:rFonts w:ascii="Cambria" w:eastAsia="Times New Roman" w:hAnsi="Cambria"/>
        </w:rPr>
        <w:t xml:space="preserve">a material weakness when it exists. The risk of not detecting a material misstatement resulting from fraud is higher than for one resulting from error, as fraud may involve collusion, forgery, intentional omissions, misrepresentations, or the override of internal control. Misstatements, including omissions, </w:t>
      </w:r>
      <w:proofErr w:type="gramStart"/>
      <w:r w:rsidRPr="00C868AA">
        <w:rPr>
          <w:rFonts w:ascii="Cambria" w:eastAsia="Times New Roman" w:hAnsi="Cambria"/>
        </w:rPr>
        <w:t>are considered to be</w:t>
      </w:r>
      <w:proofErr w:type="gramEnd"/>
      <w:r w:rsidRPr="00C868AA">
        <w:rPr>
          <w:rFonts w:ascii="Cambria" w:eastAsia="Times New Roman" w:hAnsi="Cambria"/>
        </w:rPr>
        <w:t xml:space="preserve"> material if there is a substantial likelihood that, individually or in the aggregate, they would influence the judgment made by a reasonable user based on the financial statements.</w:t>
      </w:r>
    </w:p>
    <w:p w14:paraId="50BEAD13" w14:textId="77777777" w:rsidR="007812C2" w:rsidRPr="00C868AA" w:rsidRDefault="007812C2" w:rsidP="007812C2">
      <w:pPr>
        <w:jc w:val="both"/>
        <w:rPr>
          <w:rFonts w:ascii="Cambria" w:eastAsia="Times New Roman" w:hAnsi="Cambria"/>
        </w:rPr>
      </w:pPr>
      <w:r w:rsidRPr="00C868AA">
        <w:rPr>
          <w:rFonts w:ascii="Cambria" w:eastAsia="Times New Roman" w:hAnsi="Cambria"/>
        </w:rPr>
        <w:t xml:space="preserve">In performing an audit of financial statements in accordance with U.S. generally accepted government auditing standards and OMB guidance, we: </w:t>
      </w:r>
    </w:p>
    <w:p w14:paraId="3E02A00C" w14:textId="602B2077" w:rsidR="007812C2" w:rsidRPr="00C868AA" w:rsidRDefault="007812C2" w:rsidP="007812C2">
      <w:pPr>
        <w:pStyle w:val="ListParagraph"/>
        <w:numPr>
          <w:ilvl w:val="3"/>
          <w:numId w:val="70"/>
        </w:numPr>
        <w:spacing w:after="120"/>
        <w:ind w:left="720"/>
        <w:contextualSpacing w:val="0"/>
        <w:jc w:val="both"/>
        <w:rPr>
          <w:rFonts w:ascii="Cambria" w:eastAsia="Times New Roman" w:hAnsi="Cambria"/>
        </w:rPr>
      </w:pPr>
      <w:r w:rsidRPr="00C868AA">
        <w:rPr>
          <w:rFonts w:ascii="Cambria" w:eastAsia="Times New Roman" w:hAnsi="Cambria"/>
        </w:rPr>
        <w:t>Exercise professional judgment and maintain professional skepticism throughout the audit.</w:t>
      </w:r>
    </w:p>
    <w:p w14:paraId="05C2C6A7" w14:textId="3EE711F7" w:rsidR="007812C2" w:rsidRPr="00C868AA" w:rsidRDefault="007812C2" w:rsidP="007812C2">
      <w:pPr>
        <w:pStyle w:val="ListParagraph"/>
        <w:numPr>
          <w:ilvl w:val="0"/>
          <w:numId w:val="70"/>
        </w:numPr>
        <w:spacing w:after="120"/>
        <w:contextualSpacing w:val="0"/>
        <w:jc w:val="both"/>
        <w:rPr>
          <w:rFonts w:ascii="Cambria" w:eastAsia="Times New Roman" w:hAnsi="Cambria"/>
        </w:rPr>
      </w:pPr>
      <w:r w:rsidRPr="00C868AA">
        <w:rPr>
          <w:rFonts w:ascii="Cambria" w:eastAsia="Times New Roman" w:hAnsi="Cambria"/>
        </w:rPr>
        <w:t xml:space="preserve">Identify and assess the risks of material misstatement of the financial statements, whether due to fraud or error, and design and perform audit procedures responsive to those risks. Such procedures include examining, on a test basis, evidence regarding the amounts and disclosures in the financial statements. </w:t>
      </w:r>
    </w:p>
    <w:p w14:paraId="1C4BA36D" w14:textId="5C96E979" w:rsidR="007812C2" w:rsidRPr="00C868AA" w:rsidRDefault="007812C2" w:rsidP="007812C2">
      <w:pPr>
        <w:pStyle w:val="ListParagraph"/>
        <w:numPr>
          <w:ilvl w:val="0"/>
          <w:numId w:val="70"/>
        </w:numPr>
        <w:spacing w:after="120"/>
        <w:contextualSpacing w:val="0"/>
        <w:jc w:val="both"/>
        <w:rPr>
          <w:rFonts w:ascii="Cambria" w:eastAsia="Times New Roman" w:hAnsi="Cambria"/>
        </w:rPr>
      </w:pPr>
      <w:r w:rsidRPr="00C868AA">
        <w:rPr>
          <w:rFonts w:ascii="Cambria" w:eastAsia="Times New Roman" w:hAnsi="Cambria"/>
        </w:rPr>
        <w:t xml:space="preserve">Obtain an understanding of internal control relevant to our audit of the financial statements </w:t>
      </w:r>
      <w:proofErr w:type="gramStart"/>
      <w:r w:rsidRPr="00C868AA">
        <w:rPr>
          <w:rFonts w:ascii="Cambria" w:eastAsia="Times New Roman" w:hAnsi="Cambria"/>
        </w:rPr>
        <w:t>in order to</w:t>
      </w:r>
      <w:proofErr w:type="gramEnd"/>
      <w:r w:rsidRPr="00C868AA">
        <w:rPr>
          <w:rFonts w:ascii="Cambria" w:eastAsia="Times New Roman" w:hAnsi="Cambria"/>
        </w:rPr>
        <w:t xml:space="preserve"> design audit procedures that are appropriate in the circumstances but not for the purpose of expressing an opinion on the effectiveness of PCLOB’s internal control over financial reporting. Accordingly, no such opinion is expressed.</w:t>
      </w:r>
    </w:p>
    <w:p w14:paraId="1CC94D43" w14:textId="03C011CF" w:rsidR="007812C2" w:rsidRPr="00C868AA" w:rsidRDefault="007812C2" w:rsidP="007812C2">
      <w:pPr>
        <w:pStyle w:val="ListParagraph"/>
        <w:numPr>
          <w:ilvl w:val="0"/>
          <w:numId w:val="70"/>
        </w:numPr>
        <w:spacing w:after="120"/>
        <w:contextualSpacing w:val="0"/>
        <w:jc w:val="both"/>
        <w:rPr>
          <w:rFonts w:ascii="Cambria" w:eastAsia="Times New Roman" w:hAnsi="Cambria"/>
        </w:rPr>
      </w:pPr>
      <w:r w:rsidRPr="00C868AA">
        <w:rPr>
          <w:rFonts w:ascii="Cambria" w:eastAsia="Times New Roman" w:hAnsi="Cambria"/>
        </w:rPr>
        <w:t>Evaluate the appropriateness of accounting policies used and the reasonableness of significant accounting estimates made by management, as well as evaluate the overall presentation of the financial statements.</w:t>
      </w:r>
    </w:p>
    <w:p w14:paraId="71A5D3CF" w14:textId="65064BC4" w:rsidR="007812C2" w:rsidRPr="00C868AA" w:rsidRDefault="007812C2" w:rsidP="007812C2">
      <w:pPr>
        <w:pStyle w:val="ListParagraph"/>
        <w:numPr>
          <w:ilvl w:val="0"/>
          <w:numId w:val="70"/>
        </w:numPr>
        <w:spacing w:after="120"/>
        <w:contextualSpacing w:val="0"/>
        <w:jc w:val="both"/>
        <w:rPr>
          <w:rFonts w:ascii="Cambria" w:eastAsia="Times New Roman" w:hAnsi="Cambria"/>
        </w:rPr>
      </w:pPr>
      <w:r w:rsidRPr="00C868AA">
        <w:rPr>
          <w:rFonts w:ascii="Cambria" w:eastAsia="Times New Roman" w:hAnsi="Cambria"/>
        </w:rPr>
        <w:t>Perform other procedures we consider necessary in the circumstances.</w:t>
      </w:r>
    </w:p>
    <w:p w14:paraId="01BBAF8D" w14:textId="77777777" w:rsidR="007812C2" w:rsidRPr="00C868AA" w:rsidRDefault="007812C2" w:rsidP="007812C2">
      <w:pPr>
        <w:jc w:val="both"/>
        <w:rPr>
          <w:rFonts w:ascii="Cambria" w:eastAsia="Times New Roman" w:hAnsi="Cambria"/>
        </w:rPr>
      </w:pPr>
      <w:r w:rsidRPr="00C868AA">
        <w:rPr>
          <w:rFonts w:ascii="Cambria" w:eastAsia="Times New Roman" w:hAnsi="Cambria"/>
        </w:rPr>
        <w:t>We are required to communicate with those charged with governance regarding, among other matters, the planned scope and timing of the audit, significant audit findings, and certain internal control–related matters that we identified during the financial statement audit.</w:t>
      </w:r>
    </w:p>
    <w:p w14:paraId="7BE03406" w14:textId="77777777" w:rsidR="007812C2" w:rsidRPr="00C868AA" w:rsidRDefault="007812C2" w:rsidP="007812C2">
      <w:pPr>
        <w:jc w:val="both"/>
        <w:rPr>
          <w:rFonts w:ascii="Cambria" w:eastAsia="Times New Roman" w:hAnsi="Cambria"/>
          <w:b/>
          <w:i/>
          <w:iCs/>
        </w:rPr>
      </w:pPr>
      <w:r w:rsidRPr="00C868AA">
        <w:rPr>
          <w:rFonts w:ascii="Cambria" w:eastAsia="Times New Roman" w:hAnsi="Cambria"/>
          <w:b/>
          <w:i/>
          <w:iCs/>
        </w:rPr>
        <w:t>Required Supplementary Information</w:t>
      </w:r>
    </w:p>
    <w:p w14:paraId="6338BB05" w14:textId="77777777" w:rsidR="007812C2" w:rsidRPr="00C868AA" w:rsidRDefault="007812C2" w:rsidP="007812C2">
      <w:pPr>
        <w:jc w:val="both"/>
        <w:rPr>
          <w:rFonts w:ascii="Cambria" w:eastAsia="Times New Roman" w:hAnsi="Cambria"/>
        </w:rPr>
      </w:pPr>
      <w:r w:rsidRPr="00C868AA">
        <w:rPr>
          <w:rFonts w:ascii="Cambria" w:eastAsia="Times New Roman" w:hAnsi="Cambria"/>
        </w:rPr>
        <w:t xml:space="preserve">U.S. generally accepted accounting principles issued by the Federal Accounting Standards Advisory Board (FASAB) require that the RSI be presented to supplement the financial statements. Such information is the responsibility of management and, although not part of the financial statements, is required by under standards issued by FASAB, which considers it to be an essential part of financial reporting for placing the financial </w:t>
      </w:r>
      <w:proofErr w:type="gramStart"/>
      <w:r w:rsidRPr="00C868AA">
        <w:rPr>
          <w:rFonts w:ascii="Cambria" w:eastAsia="Times New Roman" w:hAnsi="Cambria"/>
        </w:rPr>
        <w:t>statements in</w:t>
      </w:r>
      <w:proofErr w:type="gramEnd"/>
      <w:r w:rsidRPr="00C868AA">
        <w:rPr>
          <w:rFonts w:ascii="Cambria" w:eastAsia="Times New Roman" w:hAnsi="Cambria"/>
        </w:rPr>
        <w:t xml:space="preserve"> appropriate operational, economic, or historical context. </w:t>
      </w:r>
    </w:p>
    <w:p w14:paraId="25ADF88F" w14:textId="77777777" w:rsidR="00C868AA" w:rsidRPr="00C868AA" w:rsidRDefault="007812C2" w:rsidP="007812C2">
      <w:pPr>
        <w:jc w:val="both"/>
        <w:rPr>
          <w:rFonts w:ascii="Cambria" w:eastAsia="Times New Roman" w:hAnsi="Cambria"/>
        </w:rPr>
      </w:pPr>
      <w:r w:rsidRPr="00C868AA">
        <w:rPr>
          <w:rFonts w:ascii="Cambria" w:eastAsia="Times New Roman" w:hAnsi="Cambria"/>
        </w:rPr>
        <w:t xml:space="preserve">We have applied certain limited procedures to the RSI in accordance with U.S. generally accepted government auditing standards, which consisted of (1) inquiries of management about the methods used to prepare the RSI and (2) comparing the RSI for consistency with management’s responses to our inquiries, the financial statements, and other knowledge we obtained during the audit of the financial statements, in order to report omissions or material departures from FASAB guidelines, if </w:t>
      </w:r>
    </w:p>
    <w:p w14:paraId="0805EEBE" w14:textId="77777777" w:rsidR="00C868AA" w:rsidRPr="00C868AA" w:rsidRDefault="00C868AA" w:rsidP="00C868AA">
      <w:pPr>
        <w:pStyle w:val="Header"/>
        <w:rPr>
          <w:rFonts w:ascii="Cambria" w:hAnsi="Cambria"/>
          <w:color w:val="A6A6A6" w:themeColor="background1" w:themeShade="A6"/>
        </w:rPr>
      </w:pPr>
      <w:r w:rsidRPr="00C868AA">
        <w:rPr>
          <w:rFonts w:ascii="Cambria" w:hAnsi="Cambria"/>
          <w:color w:val="A6A6A6" w:themeColor="background1" w:themeShade="A6"/>
        </w:rPr>
        <w:lastRenderedPageBreak/>
        <w:t>Independent Auditor’s Report</w:t>
      </w:r>
    </w:p>
    <w:p w14:paraId="66A4B335" w14:textId="77777777" w:rsidR="00C868AA" w:rsidRPr="00C868AA" w:rsidRDefault="00C868AA" w:rsidP="00C868AA">
      <w:pPr>
        <w:pStyle w:val="Header"/>
        <w:rPr>
          <w:rFonts w:ascii="Cambria" w:hAnsi="Cambria"/>
          <w:color w:val="A6A6A6" w:themeColor="background1" w:themeShade="A6"/>
        </w:rPr>
      </w:pPr>
      <w:r w:rsidRPr="00C868AA">
        <w:rPr>
          <w:rFonts w:ascii="Cambria" w:hAnsi="Cambria"/>
          <w:color w:val="A6A6A6" w:themeColor="background1" w:themeShade="A6"/>
        </w:rPr>
        <w:t>Page 3</w:t>
      </w:r>
    </w:p>
    <w:p w14:paraId="1BAFB418" w14:textId="1DF6F1FB" w:rsidR="00D22418" w:rsidRPr="00C868AA" w:rsidRDefault="007812C2" w:rsidP="00C868AA">
      <w:pPr>
        <w:spacing w:before="240"/>
        <w:jc w:val="both"/>
        <w:rPr>
          <w:rFonts w:ascii="Cambria" w:hAnsi="Cambria"/>
        </w:rPr>
      </w:pPr>
      <w:r w:rsidRPr="00C868AA">
        <w:rPr>
          <w:rFonts w:ascii="Cambria" w:eastAsia="Times New Roman" w:hAnsi="Cambria"/>
        </w:rPr>
        <w:t xml:space="preserve">any, identified by these limited procedures. We did not </w:t>
      </w:r>
      <w:proofErr w:type="gramStart"/>
      <w:r w:rsidRPr="00C868AA">
        <w:rPr>
          <w:rFonts w:ascii="Cambria" w:eastAsia="Times New Roman" w:hAnsi="Cambria"/>
        </w:rPr>
        <w:t>audit</w:t>
      </w:r>
      <w:proofErr w:type="gramEnd"/>
      <w:r w:rsidRPr="00C868AA">
        <w:rPr>
          <w:rFonts w:ascii="Cambria" w:eastAsia="Times New Roman" w:hAnsi="Cambria"/>
        </w:rPr>
        <w:t xml:space="preserve"> and we do not express an opinion or provide any assurance on the RSI because the limited procedures we applied do not provide sufficient evidence to express an opinion or provide any assurance.</w:t>
      </w:r>
    </w:p>
    <w:p w14:paraId="32BCF5F1" w14:textId="135D9F1D" w:rsidR="007812C2" w:rsidRPr="00C868AA" w:rsidRDefault="007812C2" w:rsidP="007812C2">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Other Information</w:t>
      </w:r>
    </w:p>
    <w:p w14:paraId="1633FB8A" w14:textId="77777777" w:rsidR="007812C2" w:rsidRPr="00C868AA" w:rsidRDefault="007812C2" w:rsidP="007812C2">
      <w:pPr>
        <w:autoSpaceDE w:val="0"/>
        <w:autoSpaceDN w:val="0"/>
        <w:adjustRightInd w:val="0"/>
        <w:jc w:val="both"/>
        <w:rPr>
          <w:rFonts w:ascii="Cambria" w:eastAsia="Times New Roman" w:hAnsi="Cambria"/>
        </w:rPr>
      </w:pPr>
      <w:r w:rsidRPr="00C868AA">
        <w:rPr>
          <w:rFonts w:ascii="Cambria" w:eastAsia="Times New Roman" w:hAnsi="Cambria"/>
        </w:rPr>
        <w:t xml:space="preserve">PCLOB’s other information contains a wide range of information, some of which is not directly related to the financial statements. This information is presented for purposes of additional analysis and is not a required part of the financial statements or RSI. Management is responsible for the other information included in the PCLOB’s AFR. The other information comprises the Messages from the Agency Head and Chief Financial Officer, and Other Information, and Appendices. Other information does not include the financial statements and our auditor’s report thereon. Our opinion on the financial statements does not cover the other information, and we do not express an opinion or any form of assurance thereon. </w:t>
      </w:r>
    </w:p>
    <w:p w14:paraId="012DC6CD" w14:textId="77777777" w:rsidR="007812C2" w:rsidRPr="00C868AA" w:rsidRDefault="007812C2" w:rsidP="007812C2">
      <w:pPr>
        <w:pStyle w:val="BodyText"/>
        <w:spacing w:after="0"/>
        <w:jc w:val="both"/>
        <w:rPr>
          <w:rFonts w:ascii="Cambria" w:eastAsia="Times New Roman" w:hAnsi="Cambria"/>
          <w:sz w:val="22"/>
          <w:szCs w:val="22"/>
        </w:rPr>
      </w:pPr>
      <w:r w:rsidRPr="00C868AA">
        <w:rPr>
          <w:rFonts w:ascii="Cambria" w:eastAsia="Times New Roman" w:hAnsi="Cambria"/>
          <w:sz w:val="22"/>
          <w:szCs w:val="22"/>
        </w:rPr>
        <w:t xml:space="preserve">In connection with our audit of the financial statements, our responsibility is to read the other information and consider whether a material inconsistency exists between the other information and the financial statements, or the other information otherwise appears to be materially misstated. If, based on the work performed, we conclude that an uncorrected material </w:t>
      </w:r>
      <w:proofErr w:type="gramStart"/>
      <w:r w:rsidRPr="00C868AA">
        <w:rPr>
          <w:rFonts w:ascii="Cambria" w:eastAsia="Times New Roman" w:hAnsi="Cambria"/>
          <w:sz w:val="22"/>
          <w:szCs w:val="22"/>
        </w:rPr>
        <w:t>misstatement</w:t>
      </w:r>
      <w:proofErr w:type="gramEnd"/>
      <w:r w:rsidRPr="00C868AA">
        <w:rPr>
          <w:rFonts w:ascii="Cambria" w:eastAsia="Times New Roman" w:hAnsi="Cambria"/>
          <w:sz w:val="22"/>
          <w:szCs w:val="22"/>
        </w:rPr>
        <w:t xml:space="preserve"> of the other information exists, we are required to describe it in our report.</w:t>
      </w:r>
    </w:p>
    <w:p w14:paraId="5E95A9D6" w14:textId="59317BB6" w:rsidR="007812C2" w:rsidRPr="00C868AA" w:rsidRDefault="007812C2" w:rsidP="009B5A27">
      <w:pPr>
        <w:autoSpaceDE w:val="0"/>
        <w:autoSpaceDN w:val="0"/>
        <w:adjustRightInd w:val="0"/>
        <w:spacing w:before="240"/>
        <w:jc w:val="both"/>
        <w:rPr>
          <w:rFonts w:ascii="Cambria" w:hAnsi="Cambria"/>
          <w:b/>
        </w:rPr>
      </w:pPr>
      <w:r w:rsidRPr="00C868AA">
        <w:rPr>
          <w:rFonts w:ascii="Cambria" w:eastAsia="Times New Roman" w:hAnsi="Cambria"/>
          <w:b/>
        </w:rPr>
        <w:t xml:space="preserve">Other Reporting Required by </w:t>
      </w:r>
      <w:r w:rsidRPr="00C868AA">
        <w:rPr>
          <w:rFonts w:ascii="Cambria" w:eastAsia="Times New Roman" w:hAnsi="Cambria"/>
          <w:b/>
          <w:i/>
          <w:iCs/>
        </w:rPr>
        <w:t>Government Auditing Standards</w:t>
      </w:r>
    </w:p>
    <w:p w14:paraId="7FCADCB5" w14:textId="77777777" w:rsidR="007812C2" w:rsidRPr="00C868AA" w:rsidRDefault="007812C2" w:rsidP="007812C2">
      <w:pPr>
        <w:tabs>
          <w:tab w:val="left" w:pos="2220"/>
        </w:tabs>
        <w:autoSpaceDE w:val="0"/>
        <w:autoSpaceDN w:val="0"/>
        <w:adjustRightInd w:val="0"/>
        <w:jc w:val="both"/>
        <w:rPr>
          <w:rFonts w:ascii="Cambria" w:eastAsia="Times New Roman" w:hAnsi="Cambria"/>
          <w:b/>
        </w:rPr>
      </w:pPr>
      <w:r w:rsidRPr="00C868AA">
        <w:rPr>
          <w:rFonts w:ascii="Cambria" w:eastAsia="Times New Roman" w:hAnsi="Cambria"/>
          <w:b/>
        </w:rPr>
        <w:t>Report on Internal Control over Financial Reporting</w:t>
      </w:r>
    </w:p>
    <w:p w14:paraId="2CEBFDEC" w14:textId="77777777" w:rsidR="007812C2" w:rsidRPr="00C868AA" w:rsidRDefault="007812C2" w:rsidP="007812C2">
      <w:pPr>
        <w:autoSpaceDE w:val="0"/>
        <w:autoSpaceDN w:val="0"/>
        <w:adjustRightInd w:val="0"/>
        <w:jc w:val="both"/>
        <w:rPr>
          <w:rFonts w:ascii="Cambria" w:hAnsi="Cambria"/>
        </w:rPr>
      </w:pPr>
      <w:r w:rsidRPr="00C868AA">
        <w:rPr>
          <w:rFonts w:ascii="Cambria" w:hAnsi="Cambria"/>
        </w:rPr>
        <w:t>In connection with our audit of PCLOB’s financial statements, we considered PCLOB’s internal control over financial reporting, consistent with our auditor’s responsibilities discussed below.</w:t>
      </w:r>
    </w:p>
    <w:p w14:paraId="65EC18AF" w14:textId="77777777" w:rsidR="007812C2" w:rsidRPr="00C868AA" w:rsidRDefault="007812C2" w:rsidP="007812C2">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Results of Our Consideration of Internal Control Over Financial Reporting</w:t>
      </w:r>
    </w:p>
    <w:p w14:paraId="2D7BE50A" w14:textId="77777777" w:rsidR="007812C2" w:rsidRPr="00C868AA" w:rsidRDefault="007812C2" w:rsidP="007812C2">
      <w:pPr>
        <w:jc w:val="both"/>
        <w:rPr>
          <w:rFonts w:ascii="Cambria" w:hAnsi="Cambria"/>
        </w:rPr>
      </w:pPr>
      <w:r w:rsidRPr="00C868AA">
        <w:rPr>
          <w:rFonts w:ascii="Cambria" w:eastAsia="Times New Roman" w:hAnsi="Cambria"/>
        </w:rPr>
        <w:t xml:space="preserve">Our consideration of internal control was for the limited purpose described below and was not designed to identify all deficiencies in internal control that might be material weaknesses or significant deficiencies or to express an opinion on the effectiveness of PCLOB’s internal control over financial reporting. Given these limitations, </w:t>
      </w:r>
      <w:r w:rsidRPr="00C868AA">
        <w:rPr>
          <w:rFonts w:ascii="Cambria" w:hAnsi="Cambria"/>
        </w:rPr>
        <w:t xml:space="preserve">during our </w:t>
      </w:r>
      <w:r w:rsidRPr="00C868AA">
        <w:rPr>
          <w:rFonts w:ascii="Cambria" w:eastAsia="Times New Roman" w:hAnsi="Cambria"/>
        </w:rPr>
        <w:t>Fiscal Year</w:t>
      </w:r>
      <w:r w:rsidRPr="00C868AA">
        <w:rPr>
          <w:rFonts w:ascii="Cambria" w:hAnsi="Cambria"/>
        </w:rPr>
        <w:t xml:space="preserve"> 2025 audit, we did not identify any deficiencies in internal control over financial reporting that we consider to be material weaknesses. However, material weakness or significant deficiencies may exist that have not been identified.</w:t>
      </w:r>
    </w:p>
    <w:p w14:paraId="195BFBB6" w14:textId="77777777" w:rsidR="007812C2" w:rsidRPr="00C868AA" w:rsidRDefault="007812C2" w:rsidP="007812C2">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Basis for Results of Our Consideration of Internal Control over Financial Reporting</w:t>
      </w:r>
    </w:p>
    <w:p w14:paraId="78D42A03" w14:textId="77777777" w:rsidR="007812C2" w:rsidRPr="00C868AA" w:rsidRDefault="007812C2" w:rsidP="007812C2">
      <w:pPr>
        <w:jc w:val="both"/>
        <w:rPr>
          <w:rFonts w:ascii="Cambria" w:hAnsi="Cambria"/>
        </w:rPr>
      </w:pPr>
      <w:r w:rsidRPr="00C868AA">
        <w:rPr>
          <w:rFonts w:ascii="Cambria" w:hAnsi="Cambria"/>
        </w:rPr>
        <w:t xml:space="preserve">We performed our procedures related to PCLOB’s internal control over financial reporting in accordance with U.S. generally accepted government auditing standards and OMB audit guidance. </w:t>
      </w:r>
    </w:p>
    <w:p w14:paraId="47028037" w14:textId="77777777" w:rsidR="007812C2" w:rsidRPr="00C868AA" w:rsidRDefault="007812C2" w:rsidP="007812C2">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Responsibilities of Management for Internal Control over Financial Reporting</w:t>
      </w:r>
    </w:p>
    <w:p w14:paraId="45FD9A5E" w14:textId="77777777" w:rsidR="007812C2" w:rsidRPr="00C868AA" w:rsidRDefault="007812C2" w:rsidP="007812C2">
      <w:pPr>
        <w:jc w:val="both"/>
        <w:rPr>
          <w:rFonts w:ascii="Cambria" w:hAnsi="Cambria"/>
        </w:rPr>
      </w:pPr>
      <w:r w:rsidRPr="00C868AA">
        <w:rPr>
          <w:rFonts w:ascii="Cambria" w:hAnsi="Cambria"/>
        </w:rPr>
        <w:t>PCLOB management is responsible for designing, implementing, and maintaining effective internal control over financial reporting relevant to the preparation and fair presentation of financial statements that are free from material misstatement, whether due to fraud or error.</w:t>
      </w:r>
    </w:p>
    <w:p w14:paraId="7A99BDF7" w14:textId="77777777" w:rsidR="00C868AA" w:rsidRPr="00C868AA" w:rsidRDefault="00C868AA" w:rsidP="00C868AA">
      <w:pPr>
        <w:pStyle w:val="Header"/>
        <w:rPr>
          <w:rFonts w:ascii="Cambria" w:hAnsi="Cambria"/>
          <w:color w:val="A6A6A6" w:themeColor="background1" w:themeShade="A6"/>
        </w:rPr>
      </w:pPr>
      <w:r w:rsidRPr="00C868AA">
        <w:rPr>
          <w:rFonts w:ascii="Cambria" w:hAnsi="Cambria"/>
          <w:color w:val="A6A6A6" w:themeColor="background1" w:themeShade="A6"/>
        </w:rPr>
        <w:lastRenderedPageBreak/>
        <w:t>Independent Auditor’s Report</w:t>
      </w:r>
    </w:p>
    <w:p w14:paraId="7719B446" w14:textId="77777777" w:rsidR="00C868AA" w:rsidRPr="00C868AA" w:rsidRDefault="00C868AA" w:rsidP="00C868AA">
      <w:pPr>
        <w:jc w:val="both"/>
        <w:rPr>
          <w:rFonts w:ascii="Cambria" w:hAnsi="Cambria"/>
          <w:color w:val="A6A6A6" w:themeColor="background1" w:themeShade="A6"/>
        </w:rPr>
      </w:pPr>
      <w:r w:rsidRPr="00C868AA">
        <w:rPr>
          <w:rFonts w:ascii="Cambria" w:hAnsi="Cambria"/>
          <w:color w:val="A6A6A6" w:themeColor="background1" w:themeShade="A6"/>
        </w:rPr>
        <w:t>Page 4</w:t>
      </w:r>
    </w:p>
    <w:p w14:paraId="080EDB0B" w14:textId="77777777" w:rsidR="007812C2" w:rsidRPr="00C868AA" w:rsidRDefault="007812C2" w:rsidP="007812C2">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Auditor’s Responsibilities for the Consideration of Internal Control over Financial Reporting</w:t>
      </w:r>
    </w:p>
    <w:p w14:paraId="5AEC372A" w14:textId="77777777" w:rsidR="009B5A27" w:rsidRPr="005131D9" w:rsidRDefault="007812C2" w:rsidP="009B5A27">
      <w:pPr>
        <w:jc w:val="both"/>
        <w:rPr>
          <w:rFonts w:ascii="Cambria" w:hAnsi="Cambria"/>
        </w:rPr>
      </w:pPr>
      <w:r w:rsidRPr="005131D9">
        <w:rPr>
          <w:rFonts w:ascii="Cambria" w:hAnsi="Cambria"/>
        </w:rPr>
        <w:t xml:space="preserve">In planning and performing our audit of PCLOB’s financial statements as of and for the fiscal year ended September 30, 2025, in accordance with U.S. generally accepted government auditing standards, we considered PCLOB’s internal control relevant to the financial statement audit </w:t>
      </w:r>
      <w:proofErr w:type="gramStart"/>
      <w:r w:rsidRPr="005131D9">
        <w:rPr>
          <w:rFonts w:ascii="Cambria" w:hAnsi="Cambria"/>
        </w:rPr>
        <w:t>in order to</w:t>
      </w:r>
      <w:proofErr w:type="gramEnd"/>
      <w:r w:rsidRPr="005131D9">
        <w:rPr>
          <w:rFonts w:ascii="Cambria" w:hAnsi="Cambria"/>
        </w:rPr>
        <w:t xml:space="preserve"> design audit </w:t>
      </w:r>
    </w:p>
    <w:p w14:paraId="71DA5646" w14:textId="77777777" w:rsidR="009B5A27" w:rsidRPr="005131D9" w:rsidRDefault="007812C2" w:rsidP="009B5A27">
      <w:pPr>
        <w:jc w:val="both"/>
        <w:rPr>
          <w:rFonts w:ascii="Cambria" w:hAnsi="Cambria"/>
        </w:rPr>
      </w:pPr>
      <w:r w:rsidRPr="005131D9">
        <w:rPr>
          <w:rFonts w:ascii="Cambria" w:hAnsi="Cambria"/>
        </w:rPr>
        <w:t xml:space="preserve">procedures that are appropriate under the circumstances, but not for the purpose of expressing an opinion on the effectiveness of PCLOB’s internal control over financial reporting. Accordingly, we do not express an opinion on PCLOB’s internal control over financial reporting. We </w:t>
      </w:r>
      <w:r w:rsidR="009B5A27" w:rsidRPr="005131D9">
        <w:rPr>
          <w:rFonts w:ascii="Cambria" w:hAnsi="Cambria"/>
        </w:rPr>
        <w:t xml:space="preserve">are required to report all deficiencies that </w:t>
      </w:r>
      <w:proofErr w:type="gramStart"/>
      <w:r w:rsidR="009B5A27" w:rsidRPr="005131D9">
        <w:rPr>
          <w:rFonts w:ascii="Cambria" w:hAnsi="Cambria"/>
        </w:rPr>
        <w:t>are considered to be</w:t>
      </w:r>
      <w:proofErr w:type="gramEnd"/>
      <w:r w:rsidR="009B5A27" w:rsidRPr="005131D9">
        <w:rPr>
          <w:rFonts w:ascii="Cambria" w:hAnsi="Cambria"/>
        </w:rPr>
        <w:t xml:space="preserve"> significant deficiencies or material weaknesses. We did not consider all internal controls relevant to operating objectives, such as those controls relevant to preparing performance information and ensuring efficient operations.</w:t>
      </w:r>
    </w:p>
    <w:p w14:paraId="2C5867EE" w14:textId="77777777" w:rsidR="009B5A27" w:rsidRPr="005131D9" w:rsidRDefault="009B5A27" w:rsidP="009B5A27">
      <w:pPr>
        <w:tabs>
          <w:tab w:val="left" w:pos="2220"/>
        </w:tabs>
        <w:autoSpaceDE w:val="0"/>
        <w:autoSpaceDN w:val="0"/>
        <w:adjustRightInd w:val="0"/>
        <w:jc w:val="both"/>
        <w:rPr>
          <w:rFonts w:ascii="Cambria" w:eastAsia="Times New Roman" w:hAnsi="Cambria"/>
          <w:b/>
          <w:i/>
          <w:iCs/>
        </w:rPr>
      </w:pPr>
      <w:r w:rsidRPr="005131D9">
        <w:rPr>
          <w:rFonts w:ascii="Cambria" w:eastAsia="Times New Roman" w:hAnsi="Cambria"/>
          <w:b/>
          <w:i/>
          <w:iCs/>
        </w:rPr>
        <w:t>Definition and Inherent Limitations of Internal Control over Financial Reporting</w:t>
      </w:r>
    </w:p>
    <w:p w14:paraId="5697F046" w14:textId="77777777" w:rsidR="009B5A27" w:rsidRPr="005131D9" w:rsidRDefault="009B5A27" w:rsidP="009B5A27">
      <w:pPr>
        <w:jc w:val="both"/>
        <w:rPr>
          <w:rFonts w:ascii="Cambria" w:hAnsi="Cambria"/>
        </w:rPr>
      </w:pPr>
      <w:r w:rsidRPr="005131D9">
        <w:rPr>
          <w:rFonts w:ascii="Cambria" w:hAnsi="Cambria"/>
        </w:rPr>
        <w:t xml:space="preserve">An entity’s internal control over financial reporting is a process </w:t>
      </w:r>
      <w:proofErr w:type="gramStart"/>
      <w:r w:rsidRPr="005131D9">
        <w:rPr>
          <w:rFonts w:ascii="Cambria" w:hAnsi="Cambria"/>
        </w:rPr>
        <w:t>effected</w:t>
      </w:r>
      <w:proofErr w:type="gramEnd"/>
      <w:r w:rsidRPr="005131D9">
        <w:rPr>
          <w:rFonts w:ascii="Cambria" w:hAnsi="Cambria"/>
        </w:rPr>
        <w:t xml:space="preserve"> by those charged with governance, management, and other personnel. The objectives of internal control over financial reporting are to provide reasonable assurance that (1) transactions are properly recorded, processed, and summarized to permit the preparation of financial statements in accordance with U.S. generally accepted accounting principles, and assets are safeguarded against loss from unauthorized acquisition, use, or disposition, and (2) transactions are executed in accordance with provisions of applicable laws, including those governing the use of budget authority, regulations, and contracts, noncompliance with which could have a material effect on the financial statements. </w:t>
      </w:r>
    </w:p>
    <w:p w14:paraId="23D1A9E9" w14:textId="77777777" w:rsidR="009B5A27" w:rsidRPr="005131D9" w:rsidRDefault="009B5A27" w:rsidP="009B5A27">
      <w:pPr>
        <w:jc w:val="both"/>
        <w:rPr>
          <w:rFonts w:ascii="Cambria" w:hAnsi="Cambria"/>
        </w:rPr>
      </w:pPr>
      <w:r w:rsidRPr="005131D9">
        <w:rPr>
          <w:rFonts w:ascii="Cambria" w:hAnsi="Cambria"/>
        </w:rPr>
        <w:t xml:space="preserve">Because of its inherent limitations, internal control over financial reporting may not prevent, or detect and correct, </w:t>
      </w:r>
      <w:proofErr w:type="gramStart"/>
      <w:r w:rsidRPr="005131D9">
        <w:rPr>
          <w:rFonts w:ascii="Cambria" w:hAnsi="Cambria"/>
        </w:rPr>
        <w:t>misstatements</w:t>
      </w:r>
      <w:proofErr w:type="gramEnd"/>
      <w:r w:rsidRPr="005131D9">
        <w:rPr>
          <w:rFonts w:ascii="Cambria" w:hAnsi="Cambria"/>
        </w:rPr>
        <w:t xml:space="preserve"> due to fraud or error. </w:t>
      </w:r>
    </w:p>
    <w:p w14:paraId="11F1975C" w14:textId="77777777" w:rsidR="009B5A27" w:rsidRPr="005131D9" w:rsidRDefault="009B5A27" w:rsidP="009B5A27">
      <w:pPr>
        <w:tabs>
          <w:tab w:val="left" w:pos="2220"/>
        </w:tabs>
        <w:autoSpaceDE w:val="0"/>
        <w:autoSpaceDN w:val="0"/>
        <w:adjustRightInd w:val="0"/>
        <w:jc w:val="both"/>
        <w:rPr>
          <w:rFonts w:ascii="Cambria" w:eastAsia="Times New Roman" w:hAnsi="Cambria"/>
          <w:bCs/>
          <w:u w:val="single"/>
        </w:rPr>
      </w:pPr>
      <w:r w:rsidRPr="005131D9">
        <w:rPr>
          <w:rFonts w:ascii="Cambria" w:eastAsia="Times New Roman" w:hAnsi="Cambria"/>
          <w:b/>
          <w:i/>
          <w:iCs/>
        </w:rPr>
        <w:t xml:space="preserve">Intended Purpose of Report on Internal Control over Financial Reporting </w:t>
      </w:r>
    </w:p>
    <w:p w14:paraId="7C487112" w14:textId="77777777" w:rsidR="009B5A27" w:rsidRPr="005131D9" w:rsidRDefault="009B5A27" w:rsidP="009B5A27">
      <w:pPr>
        <w:pStyle w:val="BodyText"/>
        <w:spacing w:after="0"/>
        <w:jc w:val="both"/>
        <w:rPr>
          <w:rFonts w:ascii="Cambria" w:hAnsi="Cambria"/>
          <w:sz w:val="22"/>
          <w:szCs w:val="22"/>
        </w:rPr>
      </w:pPr>
      <w:r w:rsidRPr="005131D9">
        <w:rPr>
          <w:rFonts w:ascii="Cambria" w:hAnsi="Cambria"/>
          <w:sz w:val="22"/>
          <w:szCs w:val="22"/>
        </w:rPr>
        <w:t xml:space="preserve">The purpose of this report </w:t>
      </w:r>
      <w:proofErr w:type="gramStart"/>
      <w:r w:rsidRPr="005131D9">
        <w:rPr>
          <w:rFonts w:ascii="Cambria" w:hAnsi="Cambria"/>
          <w:sz w:val="22"/>
          <w:szCs w:val="22"/>
        </w:rPr>
        <w:t>is solely</w:t>
      </w:r>
      <w:proofErr w:type="gramEnd"/>
      <w:r w:rsidRPr="005131D9">
        <w:rPr>
          <w:rFonts w:ascii="Cambria" w:hAnsi="Cambria"/>
          <w:sz w:val="22"/>
          <w:szCs w:val="22"/>
        </w:rPr>
        <w:t xml:space="preserve"> to describe the scope of our consideration of PCLOB’s internal control over financial reporting and the results of our procedures, and not to provide an opinion on the effectiveness of PCLOB’s internal control over financial reporting. This report is an integral part of an audit performed in accordance with U.S. generally accepted government auditing standards in considering internal control over financial reporting. Accordingly, this report on internal control over financial reporting is not suitable for any other purpose.</w:t>
      </w:r>
    </w:p>
    <w:p w14:paraId="0226B8C7" w14:textId="77777777" w:rsidR="009B5A27" w:rsidRPr="005131D9" w:rsidRDefault="009B5A27" w:rsidP="009B5A27">
      <w:pPr>
        <w:pStyle w:val="BodyText"/>
        <w:spacing w:after="0"/>
        <w:rPr>
          <w:rFonts w:ascii="Cambria" w:hAnsi="Cambria"/>
          <w:b/>
          <w:color w:val="auto"/>
          <w:sz w:val="22"/>
          <w:szCs w:val="22"/>
        </w:rPr>
      </w:pPr>
    </w:p>
    <w:p w14:paraId="228B59E0" w14:textId="77777777" w:rsidR="009B5A27" w:rsidRPr="005131D9" w:rsidRDefault="009B5A27" w:rsidP="009B5A27">
      <w:pPr>
        <w:pStyle w:val="BodyText"/>
        <w:spacing w:after="0"/>
        <w:rPr>
          <w:rFonts w:ascii="Cambria" w:hAnsi="Cambria"/>
          <w:b/>
          <w:color w:val="auto"/>
          <w:sz w:val="22"/>
          <w:szCs w:val="22"/>
        </w:rPr>
      </w:pPr>
      <w:r w:rsidRPr="005131D9">
        <w:rPr>
          <w:rFonts w:ascii="Cambria" w:hAnsi="Cambria"/>
          <w:b/>
          <w:color w:val="auto"/>
          <w:sz w:val="22"/>
          <w:szCs w:val="22"/>
        </w:rPr>
        <w:t>Report on Compliance and Other Matters</w:t>
      </w:r>
    </w:p>
    <w:p w14:paraId="5703A6F7" w14:textId="77777777" w:rsidR="009B5A27" w:rsidRPr="005131D9" w:rsidRDefault="009B5A27" w:rsidP="009B5A27">
      <w:pPr>
        <w:pStyle w:val="BodyText"/>
        <w:spacing w:after="0"/>
        <w:rPr>
          <w:rFonts w:ascii="Cambria" w:hAnsi="Cambria"/>
          <w:color w:val="auto"/>
          <w:sz w:val="22"/>
          <w:szCs w:val="22"/>
        </w:rPr>
      </w:pPr>
    </w:p>
    <w:p w14:paraId="4229323D" w14:textId="77777777" w:rsidR="009B5A27" w:rsidRPr="005131D9" w:rsidRDefault="009B5A27" w:rsidP="009B5A27">
      <w:pPr>
        <w:pStyle w:val="BodyText"/>
        <w:spacing w:after="0"/>
        <w:jc w:val="both"/>
        <w:rPr>
          <w:rFonts w:ascii="Cambria" w:hAnsi="Cambria"/>
          <w:color w:val="auto"/>
          <w:sz w:val="22"/>
          <w:szCs w:val="22"/>
        </w:rPr>
      </w:pPr>
      <w:r w:rsidRPr="005131D9">
        <w:rPr>
          <w:rFonts w:ascii="Cambria" w:hAnsi="Cambria"/>
          <w:color w:val="auto"/>
          <w:sz w:val="22"/>
          <w:szCs w:val="22"/>
        </w:rPr>
        <w:t>In connection with our audits of PCLOB’s financial statements, we tested compliance with selected provisions of applicable laws, regulations, and contracts consistent with our auditor’s responsibilities discussed below.</w:t>
      </w:r>
    </w:p>
    <w:p w14:paraId="7511FA98" w14:textId="77777777" w:rsidR="005131D9" w:rsidRDefault="005131D9">
      <w:pPr>
        <w:rPr>
          <w:rFonts w:ascii="Cambria" w:eastAsia="Times New Roman" w:hAnsi="Cambria"/>
          <w:b/>
          <w:i/>
          <w:iCs/>
        </w:rPr>
      </w:pPr>
      <w:r>
        <w:rPr>
          <w:rFonts w:ascii="Cambria" w:eastAsia="Times New Roman" w:hAnsi="Cambria"/>
          <w:b/>
          <w:i/>
          <w:iCs/>
        </w:rPr>
        <w:br w:type="page"/>
      </w:r>
    </w:p>
    <w:p w14:paraId="38C1754E" w14:textId="77777777" w:rsidR="005131D9" w:rsidRPr="00C868AA" w:rsidRDefault="005131D9" w:rsidP="005131D9">
      <w:pPr>
        <w:pStyle w:val="Header"/>
        <w:rPr>
          <w:rFonts w:ascii="Cambria" w:hAnsi="Cambria"/>
          <w:color w:val="A6A6A6" w:themeColor="background1" w:themeShade="A6"/>
        </w:rPr>
      </w:pPr>
      <w:r w:rsidRPr="00C868AA">
        <w:rPr>
          <w:rFonts w:ascii="Cambria" w:hAnsi="Cambria"/>
          <w:color w:val="A6A6A6" w:themeColor="background1" w:themeShade="A6"/>
        </w:rPr>
        <w:lastRenderedPageBreak/>
        <w:t>Independent Auditor’s Report</w:t>
      </w:r>
    </w:p>
    <w:p w14:paraId="70BE0554" w14:textId="77777777" w:rsidR="005131D9" w:rsidRPr="00C868AA" w:rsidRDefault="005131D9" w:rsidP="005131D9">
      <w:pPr>
        <w:tabs>
          <w:tab w:val="left" w:pos="2220"/>
        </w:tabs>
        <w:autoSpaceDE w:val="0"/>
        <w:autoSpaceDN w:val="0"/>
        <w:adjustRightInd w:val="0"/>
        <w:jc w:val="both"/>
        <w:rPr>
          <w:rFonts w:ascii="Cambria" w:eastAsia="Times New Roman" w:hAnsi="Cambria"/>
          <w:b/>
          <w:i/>
          <w:iCs/>
          <w:color w:val="A6A6A6" w:themeColor="background1" w:themeShade="A6"/>
        </w:rPr>
      </w:pPr>
      <w:r w:rsidRPr="00C868AA">
        <w:rPr>
          <w:rFonts w:ascii="Cambria" w:hAnsi="Cambria"/>
          <w:color w:val="A6A6A6" w:themeColor="background1" w:themeShade="A6"/>
        </w:rPr>
        <w:t>Page 5</w:t>
      </w:r>
    </w:p>
    <w:p w14:paraId="5FBB5CC6" w14:textId="11E40EA1" w:rsidR="009B5A27" w:rsidRPr="00C868AA" w:rsidRDefault="009B5A27" w:rsidP="009B5A27">
      <w:pPr>
        <w:tabs>
          <w:tab w:val="left" w:pos="2220"/>
        </w:tabs>
        <w:autoSpaceDE w:val="0"/>
        <w:autoSpaceDN w:val="0"/>
        <w:adjustRightInd w:val="0"/>
        <w:spacing w:before="240"/>
        <w:jc w:val="both"/>
        <w:rPr>
          <w:rFonts w:ascii="Cambria" w:eastAsia="Times New Roman" w:hAnsi="Cambria"/>
          <w:b/>
          <w:i/>
          <w:iCs/>
        </w:rPr>
      </w:pPr>
      <w:r w:rsidRPr="00C868AA">
        <w:rPr>
          <w:rFonts w:ascii="Cambria" w:eastAsia="Times New Roman" w:hAnsi="Cambria"/>
          <w:b/>
          <w:i/>
          <w:iCs/>
        </w:rPr>
        <w:t>Results of Our Tests for Compliance with Laws, Regulations, and Contracts</w:t>
      </w:r>
    </w:p>
    <w:p w14:paraId="31E30780" w14:textId="77777777" w:rsidR="009B5A27" w:rsidRPr="00C868AA" w:rsidRDefault="009B5A27" w:rsidP="009B5A27">
      <w:pPr>
        <w:jc w:val="both"/>
        <w:rPr>
          <w:rFonts w:ascii="Cambria" w:hAnsi="Cambria"/>
        </w:rPr>
      </w:pPr>
      <w:r w:rsidRPr="00C868AA">
        <w:rPr>
          <w:rFonts w:ascii="Cambria" w:hAnsi="Cambria"/>
        </w:rPr>
        <w:t>Our tests for compliance with selected provisions of applicable laws, regulations, and contracts disclosed no instances of noncompliance for Fiscal Year 2025 that would be reportable under U.S. generally accepted government auditing standards. However, the objective of our tests was not to provide an opinion on compliance with laws, regulations, and contracts applicable to PCLOB. Accordingly, we do not express such an opinion.</w:t>
      </w:r>
    </w:p>
    <w:p w14:paraId="3441C5D8" w14:textId="1972EE96" w:rsidR="009B5A27" w:rsidRPr="00C868AA" w:rsidRDefault="009B5A27" w:rsidP="009B5A27">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Basis for Results of Our Tests for Compliance with Laws, Regulations, and Contracts</w:t>
      </w:r>
    </w:p>
    <w:p w14:paraId="5A4FB753" w14:textId="77777777" w:rsidR="009B5A27" w:rsidRPr="00C868AA" w:rsidRDefault="009B5A27" w:rsidP="009B5A27">
      <w:pPr>
        <w:jc w:val="both"/>
        <w:rPr>
          <w:rFonts w:ascii="Cambria" w:hAnsi="Cambria"/>
        </w:rPr>
      </w:pPr>
      <w:r w:rsidRPr="00C868AA">
        <w:rPr>
          <w:rFonts w:ascii="Cambria" w:hAnsi="Cambria"/>
        </w:rPr>
        <w:t xml:space="preserve">We performed our tests of compliance in accordance with U.S. generally accepted government auditing standards. </w:t>
      </w:r>
    </w:p>
    <w:p w14:paraId="0106A925" w14:textId="77777777" w:rsidR="009B5A27" w:rsidRPr="00C868AA" w:rsidRDefault="009B5A27" w:rsidP="009B5A27">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Responsibilities of Management for Compliance with Laws, Regulations, and Contracts</w:t>
      </w:r>
    </w:p>
    <w:p w14:paraId="7793B17A" w14:textId="77777777" w:rsidR="009B5A27" w:rsidRPr="00C868AA" w:rsidRDefault="009B5A27" w:rsidP="009B5A27">
      <w:pPr>
        <w:jc w:val="both"/>
        <w:rPr>
          <w:rFonts w:ascii="Cambria" w:hAnsi="Cambria"/>
        </w:rPr>
      </w:pPr>
      <w:r w:rsidRPr="00C868AA">
        <w:rPr>
          <w:rFonts w:ascii="Cambria" w:hAnsi="Cambria"/>
        </w:rPr>
        <w:t>PCLOB management is responsible for complying with laws, regulations, and contracts applicable to the PCLOB.</w:t>
      </w:r>
    </w:p>
    <w:p w14:paraId="65AED528" w14:textId="77777777" w:rsidR="009B5A27" w:rsidRPr="00C868AA" w:rsidRDefault="009B5A27" w:rsidP="009B5A27">
      <w:pPr>
        <w:jc w:val="both"/>
        <w:rPr>
          <w:rFonts w:ascii="Cambria" w:eastAsia="Times New Roman" w:hAnsi="Cambria"/>
          <w:b/>
          <w:i/>
          <w:iCs/>
        </w:rPr>
      </w:pPr>
      <w:r w:rsidRPr="00C868AA">
        <w:rPr>
          <w:rFonts w:ascii="Cambria" w:eastAsia="Times New Roman" w:hAnsi="Cambria"/>
          <w:b/>
          <w:i/>
          <w:iCs/>
        </w:rPr>
        <w:t>Auditor’s Responsibilities for Tests of Compliance with Laws, Regulations, and Contracts</w:t>
      </w:r>
    </w:p>
    <w:p w14:paraId="7F344E92" w14:textId="77777777" w:rsidR="009B5A27" w:rsidRPr="00C868AA" w:rsidRDefault="009B5A27" w:rsidP="009B5A27">
      <w:pPr>
        <w:jc w:val="both"/>
        <w:rPr>
          <w:rFonts w:ascii="Cambria" w:hAnsi="Cambria"/>
        </w:rPr>
      </w:pPr>
      <w:r w:rsidRPr="00C868AA">
        <w:rPr>
          <w:rFonts w:ascii="Cambria" w:hAnsi="Cambria"/>
        </w:rPr>
        <w:t>Our responsibility is to test compliance with selected provisions of laws, regulations, and contracts applicable to PCLOB that have a direct effect on the determination of material amounts and disclosures in PCLOB’s financial statements, and to perform certain other limited procedures. Accordingly, we did not test compliance with all laws, regulations, and contracts applicable to PCLOB. We caution that noncompliance may occur and not be detected by these tests.</w:t>
      </w:r>
    </w:p>
    <w:p w14:paraId="54E8CA98" w14:textId="77777777" w:rsidR="009B5A27" w:rsidRPr="00C868AA" w:rsidRDefault="009B5A27" w:rsidP="009B5A27">
      <w:pPr>
        <w:tabs>
          <w:tab w:val="left" w:pos="2220"/>
        </w:tabs>
        <w:autoSpaceDE w:val="0"/>
        <w:autoSpaceDN w:val="0"/>
        <w:adjustRightInd w:val="0"/>
        <w:jc w:val="both"/>
        <w:rPr>
          <w:rFonts w:ascii="Cambria" w:eastAsia="Times New Roman" w:hAnsi="Cambria"/>
          <w:b/>
          <w:i/>
          <w:iCs/>
        </w:rPr>
      </w:pPr>
      <w:r w:rsidRPr="00C868AA">
        <w:rPr>
          <w:rFonts w:ascii="Cambria" w:eastAsia="Times New Roman" w:hAnsi="Cambria"/>
          <w:b/>
          <w:i/>
          <w:iCs/>
        </w:rPr>
        <w:t>Intended Purpose of Report on Compliance with Laws, Regulations, and Contracts</w:t>
      </w:r>
    </w:p>
    <w:p w14:paraId="0280DD94" w14:textId="369BF639" w:rsidR="009B5A27" w:rsidRPr="00C868AA" w:rsidRDefault="005131D9" w:rsidP="009B5A27">
      <w:pPr>
        <w:jc w:val="both"/>
        <w:rPr>
          <w:rFonts w:ascii="Cambria" w:hAnsi="Cambria"/>
        </w:rPr>
      </w:pPr>
      <w:r>
        <w:rPr>
          <w:noProof/>
        </w:rPr>
        <w:drawing>
          <wp:anchor distT="0" distB="0" distL="114300" distR="114300" simplePos="0" relativeHeight="252239360" behindDoc="1" locked="0" layoutInCell="1" allowOverlap="1" wp14:anchorId="766A5C0E" wp14:editId="518CA039">
            <wp:simplePos x="0" y="0"/>
            <wp:positionH relativeFrom="column">
              <wp:posOffset>-270368</wp:posOffset>
            </wp:positionH>
            <wp:positionV relativeFrom="paragraph">
              <wp:posOffset>937715</wp:posOffset>
            </wp:positionV>
            <wp:extent cx="3583940" cy="987425"/>
            <wp:effectExtent l="0" t="0" r="0" b="3175"/>
            <wp:wrapNone/>
            <wp:docPr id="3" name="Picture 9" descr="Castro &amp; Company LL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tro &amp; Company LLC 2.jpg"/>
                    <pic:cNvPicPr>
                      <a:picLocks noChangeAspect="1" noChangeArrowheads="1"/>
                    </pic:cNvPicPr>
                  </pic:nvPicPr>
                  <pic:blipFill>
                    <a:blip r:embed="rId100" cstate="print"/>
                    <a:srcRect/>
                    <a:stretch>
                      <a:fillRect/>
                    </a:stretch>
                  </pic:blipFill>
                  <pic:spPr bwMode="auto">
                    <a:xfrm>
                      <a:off x="0" y="0"/>
                      <a:ext cx="3583940" cy="987425"/>
                    </a:xfrm>
                    <a:prstGeom prst="rect">
                      <a:avLst/>
                    </a:prstGeom>
                    <a:noFill/>
                  </pic:spPr>
                </pic:pic>
              </a:graphicData>
            </a:graphic>
            <wp14:sizeRelH relativeFrom="margin">
              <wp14:pctWidth>0</wp14:pctWidth>
            </wp14:sizeRelH>
            <wp14:sizeRelV relativeFrom="margin">
              <wp14:pctHeight>0</wp14:pctHeight>
            </wp14:sizeRelV>
          </wp:anchor>
        </w:drawing>
      </w:r>
      <w:r w:rsidR="009B5A27" w:rsidRPr="00C868AA">
        <w:rPr>
          <w:rFonts w:ascii="Cambria" w:hAnsi="Cambria"/>
        </w:rPr>
        <w:t>The purpose of this report is solely to describe the scope of our testing of compliance with selected provisions of applicable laws, regulations, and contracts, and the results of that testing, and not to provide an opinion on compliance. This report is an integral part of an audit performed in accordance</w:t>
      </w:r>
      <w:r>
        <w:rPr>
          <w:rFonts w:ascii="Cambria" w:hAnsi="Cambria"/>
        </w:rPr>
        <w:t xml:space="preserve"> </w:t>
      </w:r>
      <w:r w:rsidR="009B5A27" w:rsidRPr="00C868AA">
        <w:rPr>
          <w:rFonts w:ascii="Cambria" w:hAnsi="Cambria"/>
        </w:rPr>
        <w:t xml:space="preserve">with U.S. generally accepted government </w:t>
      </w:r>
      <w:r w:rsidR="009B5A27" w:rsidRPr="00C868AA">
        <w:rPr>
          <w:rFonts w:ascii="Cambria" w:hAnsi="Cambria"/>
          <w:iCs/>
        </w:rPr>
        <w:t>auditing standards</w:t>
      </w:r>
      <w:r w:rsidR="009B5A27" w:rsidRPr="00C868AA">
        <w:rPr>
          <w:rFonts w:ascii="Cambria" w:hAnsi="Cambria"/>
        </w:rPr>
        <w:t xml:space="preserve"> in considering compliance. Accordingly, this report on compliance with laws, regulations, and contracts is not suitable for any other purpose.</w:t>
      </w:r>
    </w:p>
    <w:p w14:paraId="24C11CAF" w14:textId="729AC59C" w:rsidR="009B5A27" w:rsidRDefault="009B5A27" w:rsidP="009B5A27">
      <w:pPr>
        <w:pStyle w:val="BodyText"/>
        <w:spacing w:after="0"/>
        <w:rPr>
          <w:rFonts w:ascii="Times New Roman" w:hAnsi="Times New Roman"/>
          <w:color w:val="auto"/>
          <w:highlight w:val="yellow"/>
        </w:rPr>
      </w:pPr>
    </w:p>
    <w:p w14:paraId="1F762C9B" w14:textId="77777777" w:rsidR="009B5A27" w:rsidRDefault="009B5A27" w:rsidP="009B5A27">
      <w:pPr>
        <w:pStyle w:val="BodyText"/>
        <w:spacing w:after="0"/>
        <w:rPr>
          <w:rFonts w:ascii="Times New Roman" w:hAnsi="Times New Roman"/>
          <w:color w:val="auto"/>
          <w:highlight w:val="yellow"/>
        </w:rPr>
      </w:pPr>
    </w:p>
    <w:p w14:paraId="1399E9A3" w14:textId="77777777" w:rsidR="009B5A27" w:rsidRDefault="009B5A27" w:rsidP="009B5A27">
      <w:pPr>
        <w:pStyle w:val="BodyText"/>
        <w:spacing w:after="0"/>
        <w:rPr>
          <w:rFonts w:ascii="Times New Roman" w:hAnsi="Times New Roman"/>
          <w:color w:val="auto"/>
          <w:highlight w:val="yellow"/>
        </w:rPr>
      </w:pPr>
    </w:p>
    <w:p w14:paraId="12A4D5F4" w14:textId="77777777" w:rsidR="009B5A27" w:rsidRPr="00F92800" w:rsidRDefault="009B5A27" w:rsidP="009B5A27">
      <w:pPr>
        <w:pStyle w:val="BodyText"/>
        <w:spacing w:after="0"/>
        <w:rPr>
          <w:rFonts w:ascii="Times New Roman" w:hAnsi="Times New Roman"/>
          <w:color w:val="auto"/>
          <w:highlight w:val="yellow"/>
        </w:rPr>
      </w:pPr>
    </w:p>
    <w:p w14:paraId="58B0ACE8" w14:textId="77777777" w:rsidR="009B5A27" w:rsidRPr="005131D9" w:rsidRDefault="009B5A27" w:rsidP="009B5A27">
      <w:pPr>
        <w:pStyle w:val="BodyText"/>
        <w:spacing w:after="0"/>
        <w:jc w:val="both"/>
        <w:rPr>
          <w:rFonts w:ascii="Cambria" w:hAnsi="Cambria"/>
          <w:sz w:val="22"/>
          <w:szCs w:val="22"/>
        </w:rPr>
      </w:pPr>
      <w:r w:rsidRPr="005131D9">
        <w:rPr>
          <w:rFonts w:ascii="Cambria" w:hAnsi="Cambria"/>
          <w:sz w:val="22"/>
          <w:szCs w:val="22"/>
        </w:rPr>
        <w:t>Alexandria, VA</w:t>
      </w:r>
    </w:p>
    <w:p w14:paraId="0CE63420" w14:textId="77777777" w:rsidR="009B5A27" w:rsidRPr="005131D9" w:rsidRDefault="009B5A27" w:rsidP="009B5A27">
      <w:pPr>
        <w:autoSpaceDE w:val="0"/>
        <w:autoSpaceDN w:val="0"/>
        <w:adjustRightInd w:val="0"/>
        <w:rPr>
          <w:rFonts w:ascii="Cambria" w:hAnsi="Cambria"/>
        </w:rPr>
      </w:pPr>
      <w:r w:rsidRPr="005131D9">
        <w:rPr>
          <w:rFonts w:ascii="Cambria" w:eastAsia="Times New Roman" w:hAnsi="Cambria"/>
        </w:rPr>
        <w:t>November 14, 2025</w:t>
      </w:r>
    </w:p>
    <w:p w14:paraId="4C24D46F" w14:textId="5C5D2539" w:rsidR="00A52152" w:rsidRDefault="00A52152">
      <w:pPr>
        <w:rPr>
          <w:rFonts w:ascii="Cambria" w:hAnsi="Cambria"/>
          <w:sz w:val="32"/>
          <w:szCs w:val="32"/>
        </w:rPr>
        <w:sectPr w:rsidR="00A52152" w:rsidSect="00A52152">
          <w:headerReference w:type="default" r:id="rId101"/>
          <w:pgSz w:w="12240" w:h="15840"/>
          <w:pgMar w:top="1980" w:right="1440" w:bottom="1080" w:left="1440" w:header="450" w:footer="720" w:gutter="0"/>
          <w:cols w:space="720"/>
          <w:docGrid w:linePitch="360"/>
        </w:sectPr>
      </w:pPr>
    </w:p>
    <w:p w14:paraId="18ACEA67" w14:textId="51201C6C" w:rsidR="00D22418" w:rsidRPr="00502B1A" w:rsidRDefault="00A52152" w:rsidP="00502B1A">
      <w:pPr>
        <w:pStyle w:val="Heading2"/>
        <w:spacing w:before="0" w:after="0"/>
        <w:rPr>
          <w:color w:val="FFFFFF" w:themeColor="background1"/>
          <w:sz w:val="4"/>
          <w:szCs w:val="4"/>
        </w:rPr>
      </w:pPr>
      <w:bookmarkStart w:id="106" w:name="_Audited_Financial_Statements"/>
      <w:bookmarkStart w:id="107" w:name="_Toc213421245"/>
      <w:bookmarkEnd w:id="106"/>
      <w:r w:rsidRPr="00502B1A">
        <w:rPr>
          <w:color w:val="FFFFFF" w:themeColor="background1"/>
          <w:sz w:val="4"/>
          <w:szCs w:val="4"/>
        </w:rPr>
        <w:lastRenderedPageBreak/>
        <w:t>Audited Financial Statements</w:t>
      </w:r>
      <w:bookmarkEnd w:id="107"/>
    </w:p>
    <w:p w14:paraId="0170A087" w14:textId="61E5BF1E" w:rsidR="008E3636" w:rsidRDefault="006851C8" w:rsidP="00AD7A93">
      <w:pPr>
        <w:jc w:val="center"/>
        <w:rPr>
          <w:rFonts w:ascii="Cambria" w:hAnsi="Cambria"/>
          <w:sz w:val="24"/>
          <w:szCs w:val="24"/>
        </w:rPr>
      </w:pPr>
      <w:r w:rsidRPr="006851C8">
        <w:rPr>
          <w:rFonts w:ascii="Cambria" w:hAnsi="Cambria"/>
          <w:noProof/>
          <w:sz w:val="24"/>
          <w:szCs w:val="24"/>
        </w:rPr>
        <w:drawing>
          <wp:inline distT="0" distB="0" distL="0" distR="0" wp14:anchorId="7E191267" wp14:editId="14892E7C">
            <wp:extent cx="5376659" cy="7677510"/>
            <wp:effectExtent l="0" t="0" r="0" b="0"/>
            <wp:docPr id="203419197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6782" cy="7691965"/>
                    </a:xfrm>
                    <a:prstGeom prst="rect">
                      <a:avLst/>
                    </a:prstGeom>
                    <a:noFill/>
                    <a:ln>
                      <a:noFill/>
                    </a:ln>
                  </pic:spPr>
                </pic:pic>
              </a:graphicData>
            </a:graphic>
          </wp:inline>
        </w:drawing>
      </w:r>
    </w:p>
    <w:p w14:paraId="7CEF90EF" w14:textId="45AC6377" w:rsidR="00857C19" w:rsidRPr="00AD7A93" w:rsidRDefault="00857C19" w:rsidP="00AD7A93">
      <w:pPr>
        <w:jc w:val="center"/>
        <w:rPr>
          <w:rFonts w:ascii="Cambria" w:hAnsi="Cambria"/>
          <w:sz w:val="24"/>
          <w:szCs w:val="24"/>
        </w:rPr>
      </w:pPr>
      <w:r w:rsidRPr="00857C19">
        <w:rPr>
          <w:rFonts w:ascii="Cambria" w:hAnsi="Cambria"/>
          <w:sz w:val="24"/>
          <w:szCs w:val="24"/>
        </w:rPr>
        <w:t>The accompanying notes are an integral part of these financial statements.</w:t>
      </w:r>
    </w:p>
    <w:p w14:paraId="55AF4FF7" w14:textId="6B9AC2CB" w:rsidR="00A52152" w:rsidRDefault="00A52152">
      <w:pPr>
        <w:rPr>
          <w:rFonts w:ascii="Cambria" w:hAnsi="Cambria"/>
          <w:sz w:val="32"/>
          <w:szCs w:val="32"/>
        </w:rPr>
        <w:sectPr w:rsidR="00A52152" w:rsidSect="00BE726D">
          <w:headerReference w:type="default" r:id="rId103"/>
          <w:pgSz w:w="12240" w:h="15840"/>
          <w:pgMar w:top="1987" w:right="1440" w:bottom="1080" w:left="1440" w:header="446" w:footer="720" w:gutter="0"/>
          <w:cols w:space="720"/>
          <w:docGrid w:linePitch="360"/>
        </w:sectPr>
      </w:pPr>
    </w:p>
    <w:p w14:paraId="2039F963" w14:textId="40076A7C" w:rsidR="00857C19" w:rsidRPr="00857C19" w:rsidRDefault="006F72B8" w:rsidP="006F72B8">
      <w:pPr>
        <w:jc w:val="center"/>
        <w:rPr>
          <w:rFonts w:ascii="Cambria" w:hAnsi="Cambria"/>
          <w:sz w:val="32"/>
          <w:szCs w:val="32"/>
        </w:rPr>
      </w:pPr>
      <w:r w:rsidRPr="006F72B8">
        <w:rPr>
          <w:rFonts w:ascii="Cambria" w:hAnsi="Cambria"/>
          <w:noProof/>
          <w:sz w:val="32"/>
          <w:szCs w:val="32"/>
        </w:rPr>
        <w:lastRenderedPageBreak/>
        <w:drawing>
          <wp:inline distT="0" distB="0" distL="0" distR="0" wp14:anchorId="5986F40F" wp14:editId="271DDF2C">
            <wp:extent cx="5608955" cy="3807460"/>
            <wp:effectExtent l="0" t="0" r="0" b="2540"/>
            <wp:docPr id="69343303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8955" cy="3807460"/>
                    </a:xfrm>
                    <a:prstGeom prst="rect">
                      <a:avLst/>
                    </a:prstGeom>
                    <a:noFill/>
                    <a:ln>
                      <a:noFill/>
                    </a:ln>
                  </pic:spPr>
                </pic:pic>
              </a:graphicData>
            </a:graphic>
          </wp:inline>
        </w:drawing>
      </w:r>
    </w:p>
    <w:p w14:paraId="6B21003D" w14:textId="16A94C14" w:rsidR="00857C19" w:rsidRPr="00857C19" w:rsidRDefault="00857C19" w:rsidP="00857C19">
      <w:pPr>
        <w:rPr>
          <w:rFonts w:ascii="Cambria" w:hAnsi="Cambria"/>
          <w:sz w:val="32"/>
          <w:szCs w:val="32"/>
        </w:rPr>
      </w:pPr>
    </w:p>
    <w:p w14:paraId="6C13039E" w14:textId="77777777" w:rsidR="00857C19" w:rsidRPr="00857C19" w:rsidRDefault="00857C19" w:rsidP="00857C19">
      <w:pPr>
        <w:rPr>
          <w:rFonts w:ascii="Cambria" w:hAnsi="Cambria"/>
          <w:sz w:val="32"/>
          <w:szCs w:val="32"/>
        </w:rPr>
      </w:pPr>
    </w:p>
    <w:p w14:paraId="307EAE20" w14:textId="77777777" w:rsidR="00857C19" w:rsidRPr="00857C19" w:rsidRDefault="00857C19" w:rsidP="00857C19">
      <w:pPr>
        <w:rPr>
          <w:rFonts w:ascii="Cambria" w:hAnsi="Cambria"/>
          <w:sz w:val="32"/>
          <w:szCs w:val="32"/>
        </w:rPr>
      </w:pPr>
    </w:p>
    <w:p w14:paraId="1A123040" w14:textId="77777777" w:rsidR="00857C19" w:rsidRPr="00857C19" w:rsidRDefault="00857C19" w:rsidP="00857C19">
      <w:pPr>
        <w:rPr>
          <w:rFonts w:ascii="Cambria" w:hAnsi="Cambria"/>
          <w:sz w:val="32"/>
          <w:szCs w:val="32"/>
        </w:rPr>
      </w:pPr>
    </w:p>
    <w:p w14:paraId="46D1CC55" w14:textId="77777777" w:rsidR="00857C19" w:rsidRPr="00857C19" w:rsidRDefault="00857C19" w:rsidP="00857C19">
      <w:pPr>
        <w:rPr>
          <w:rFonts w:ascii="Cambria" w:hAnsi="Cambria"/>
          <w:sz w:val="32"/>
          <w:szCs w:val="32"/>
        </w:rPr>
      </w:pPr>
    </w:p>
    <w:p w14:paraId="7998C4D9" w14:textId="77777777" w:rsidR="00857C19" w:rsidRPr="00857C19" w:rsidRDefault="00857C19" w:rsidP="00857C19">
      <w:pPr>
        <w:rPr>
          <w:rFonts w:ascii="Cambria" w:hAnsi="Cambria"/>
          <w:sz w:val="32"/>
          <w:szCs w:val="32"/>
        </w:rPr>
      </w:pPr>
    </w:p>
    <w:p w14:paraId="74C4AF37" w14:textId="77777777" w:rsidR="00857C19" w:rsidRPr="00857C19" w:rsidRDefault="00857C19" w:rsidP="00857C19">
      <w:pPr>
        <w:rPr>
          <w:rFonts w:ascii="Cambria" w:hAnsi="Cambria"/>
          <w:sz w:val="32"/>
          <w:szCs w:val="32"/>
        </w:rPr>
      </w:pPr>
    </w:p>
    <w:p w14:paraId="3882D0E2" w14:textId="77777777" w:rsidR="00857C19" w:rsidRPr="00857C19" w:rsidRDefault="00857C19" w:rsidP="00857C19">
      <w:pPr>
        <w:rPr>
          <w:rFonts w:ascii="Cambria" w:hAnsi="Cambria"/>
          <w:sz w:val="32"/>
          <w:szCs w:val="32"/>
        </w:rPr>
      </w:pPr>
    </w:p>
    <w:p w14:paraId="0D944A57" w14:textId="77777777" w:rsidR="00857C19" w:rsidRPr="00857C19" w:rsidRDefault="00857C19" w:rsidP="00857C19">
      <w:pPr>
        <w:rPr>
          <w:rFonts w:ascii="Cambria" w:hAnsi="Cambria"/>
          <w:sz w:val="32"/>
          <w:szCs w:val="32"/>
        </w:rPr>
      </w:pPr>
    </w:p>
    <w:p w14:paraId="0CF4B616" w14:textId="77777777" w:rsidR="00857C19" w:rsidRPr="00857C19" w:rsidRDefault="00857C19" w:rsidP="00857C19">
      <w:pPr>
        <w:rPr>
          <w:rFonts w:ascii="Cambria" w:hAnsi="Cambria"/>
          <w:sz w:val="32"/>
          <w:szCs w:val="32"/>
        </w:rPr>
      </w:pPr>
    </w:p>
    <w:p w14:paraId="22FA329A" w14:textId="77777777" w:rsidR="00857C19" w:rsidRPr="00AD7A93" w:rsidRDefault="00857C19" w:rsidP="00AD7A93">
      <w:pPr>
        <w:jc w:val="center"/>
        <w:rPr>
          <w:rFonts w:ascii="Cambria" w:hAnsi="Cambria"/>
          <w:sz w:val="24"/>
          <w:szCs w:val="24"/>
        </w:rPr>
      </w:pPr>
      <w:r w:rsidRPr="00AD7A93">
        <w:rPr>
          <w:rFonts w:ascii="Cambria" w:hAnsi="Cambria"/>
          <w:sz w:val="24"/>
          <w:szCs w:val="24"/>
        </w:rPr>
        <w:t>The accompanying notes are an integral part of these financial statements.</w:t>
      </w:r>
    </w:p>
    <w:p w14:paraId="12E74B8F" w14:textId="4FFFE327" w:rsidR="00A52152" w:rsidRDefault="00A52152">
      <w:pPr>
        <w:rPr>
          <w:rFonts w:ascii="Cambria" w:hAnsi="Cambria"/>
          <w:sz w:val="32"/>
          <w:szCs w:val="32"/>
        </w:rPr>
        <w:sectPr w:rsidR="00A52152" w:rsidSect="00A52152">
          <w:headerReference w:type="default" r:id="rId105"/>
          <w:pgSz w:w="12240" w:h="15840"/>
          <w:pgMar w:top="1980" w:right="1440" w:bottom="1080" w:left="1440" w:header="450" w:footer="720" w:gutter="0"/>
          <w:cols w:space="720"/>
          <w:docGrid w:linePitch="360"/>
        </w:sectPr>
      </w:pPr>
    </w:p>
    <w:p w14:paraId="1751056B" w14:textId="001838D1" w:rsidR="00857C19" w:rsidRPr="00857C19" w:rsidRDefault="006F72B8" w:rsidP="006F72B8">
      <w:pPr>
        <w:jc w:val="center"/>
        <w:rPr>
          <w:rFonts w:ascii="Cambria" w:hAnsi="Cambria"/>
          <w:sz w:val="32"/>
          <w:szCs w:val="32"/>
        </w:rPr>
      </w:pPr>
      <w:r w:rsidRPr="006F72B8">
        <w:rPr>
          <w:rFonts w:ascii="Cambria" w:hAnsi="Cambria"/>
          <w:noProof/>
          <w:sz w:val="32"/>
          <w:szCs w:val="32"/>
        </w:rPr>
        <w:lastRenderedPageBreak/>
        <w:drawing>
          <wp:inline distT="0" distB="0" distL="0" distR="0" wp14:anchorId="0066DA90" wp14:editId="687232EA">
            <wp:extent cx="5588635" cy="5622925"/>
            <wp:effectExtent l="0" t="0" r="0" b="0"/>
            <wp:docPr id="5463240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88635" cy="5622925"/>
                    </a:xfrm>
                    <a:prstGeom prst="rect">
                      <a:avLst/>
                    </a:prstGeom>
                    <a:noFill/>
                    <a:ln>
                      <a:noFill/>
                    </a:ln>
                  </pic:spPr>
                </pic:pic>
              </a:graphicData>
            </a:graphic>
          </wp:inline>
        </w:drawing>
      </w:r>
    </w:p>
    <w:p w14:paraId="1A49A88C" w14:textId="0057C220" w:rsidR="00857C19" w:rsidRPr="00857C19" w:rsidRDefault="00857C19" w:rsidP="00857C19">
      <w:pPr>
        <w:rPr>
          <w:rFonts w:ascii="Cambria" w:hAnsi="Cambria"/>
          <w:sz w:val="32"/>
          <w:szCs w:val="32"/>
        </w:rPr>
      </w:pPr>
    </w:p>
    <w:p w14:paraId="366FC5DF" w14:textId="77777777" w:rsidR="00857C19" w:rsidRPr="00857C19" w:rsidRDefault="00857C19" w:rsidP="00857C19">
      <w:pPr>
        <w:rPr>
          <w:rFonts w:ascii="Cambria" w:hAnsi="Cambria"/>
          <w:sz w:val="32"/>
          <w:szCs w:val="32"/>
        </w:rPr>
      </w:pPr>
    </w:p>
    <w:p w14:paraId="7906D03A" w14:textId="77777777" w:rsidR="00857C19" w:rsidRPr="00857C19" w:rsidRDefault="00857C19" w:rsidP="00857C19">
      <w:pPr>
        <w:rPr>
          <w:rFonts w:ascii="Cambria" w:hAnsi="Cambria"/>
          <w:sz w:val="32"/>
          <w:szCs w:val="32"/>
        </w:rPr>
      </w:pPr>
    </w:p>
    <w:p w14:paraId="156F4792" w14:textId="77777777" w:rsidR="00857C19" w:rsidRPr="00857C19" w:rsidRDefault="00857C19" w:rsidP="00857C19">
      <w:pPr>
        <w:rPr>
          <w:rFonts w:ascii="Cambria" w:hAnsi="Cambria"/>
          <w:sz w:val="32"/>
          <w:szCs w:val="32"/>
        </w:rPr>
      </w:pPr>
    </w:p>
    <w:p w14:paraId="69196150" w14:textId="77777777" w:rsidR="00857C19" w:rsidRPr="00857C19" w:rsidRDefault="00857C19" w:rsidP="00857C19">
      <w:pPr>
        <w:rPr>
          <w:rFonts w:ascii="Cambria" w:hAnsi="Cambria"/>
          <w:sz w:val="32"/>
          <w:szCs w:val="32"/>
        </w:rPr>
      </w:pPr>
    </w:p>
    <w:p w14:paraId="0DB71986" w14:textId="77777777" w:rsidR="00857C19" w:rsidRPr="00AD7A93" w:rsidRDefault="00857C19" w:rsidP="00AD7A93">
      <w:pPr>
        <w:jc w:val="center"/>
        <w:rPr>
          <w:rFonts w:ascii="Cambria" w:hAnsi="Cambria"/>
          <w:sz w:val="24"/>
          <w:szCs w:val="24"/>
        </w:rPr>
      </w:pPr>
      <w:r w:rsidRPr="00AD7A93">
        <w:rPr>
          <w:rFonts w:ascii="Cambria" w:hAnsi="Cambria"/>
          <w:sz w:val="24"/>
          <w:szCs w:val="24"/>
        </w:rPr>
        <w:t>The accompanying notes are an integral part of these financial statements.</w:t>
      </w:r>
    </w:p>
    <w:p w14:paraId="5DF8FD51" w14:textId="36BCECE2" w:rsidR="002421FB" w:rsidRDefault="002421FB">
      <w:pPr>
        <w:rPr>
          <w:rFonts w:ascii="Cambria" w:hAnsi="Cambria"/>
          <w:sz w:val="32"/>
          <w:szCs w:val="32"/>
        </w:rPr>
        <w:sectPr w:rsidR="002421FB" w:rsidSect="00A52152">
          <w:headerReference w:type="default" r:id="rId107"/>
          <w:pgSz w:w="12240" w:h="15840"/>
          <w:pgMar w:top="1980" w:right="1440" w:bottom="1080" w:left="1440" w:header="450" w:footer="720" w:gutter="0"/>
          <w:cols w:space="720"/>
          <w:docGrid w:linePitch="360"/>
        </w:sectPr>
      </w:pPr>
    </w:p>
    <w:p w14:paraId="57A09C6B" w14:textId="41CC54D1" w:rsidR="00857C19" w:rsidRPr="00857C19" w:rsidRDefault="006F72B8" w:rsidP="006F72B8">
      <w:pPr>
        <w:jc w:val="center"/>
        <w:rPr>
          <w:rFonts w:ascii="Cambria" w:hAnsi="Cambria"/>
          <w:sz w:val="32"/>
          <w:szCs w:val="32"/>
        </w:rPr>
      </w:pPr>
      <w:r w:rsidRPr="006F72B8">
        <w:rPr>
          <w:rFonts w:ascii="Cambria" w:hAnsi="Cambria"/>
          <w:noProof/>
          <w:sz w:val="32"/>
          <w:szCs w:val="32"/>
        </w:rPr>
        <w:lastRenderedPageBreak/>
        <w:drawing>
          <wp:inline distT="0" distB="0" distL="0" distR="0" wp14:anchorId="0E6261BF" wp14:editId="0931988C">
            <wp:extent cx="5608955" cy="5179060"/>
            <wp:effectExtent l="0" t="0" r="0" b="2540"/>
            <wp:docPr id="10784511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08955" cy="5179060"/>
                    </a:xfrm>
                    <a:prstGeom prst="rect">
                      <a:avLst/>
                    </a:prstGeom>
                    <a:noFill/>
                    <a:ln>
                      <a:noFill/>
                    </a:ln>
                  </pic:spPr>
                </pic:pic>
              </a:graphicData>
            </a:graphic>
          </wp:inline>
        </w:drawing>
      </w:r>
    </w:p>
    <w:p w14:paraId="479DA497" w14:textId="77777777" w:rsidR="00857C19" w:rsidRPr="00857C19" w:rsidRDefault="00857C19" w:rsidP="00857C19">
      <w:pPr>
        <w:rPr>
          <w:rFonts w:ascii="Cambria" w:hAnsi="Cambria"/>
          <w:sz w:val="32"/>
          <w:szCs w:val="32"/>
        </w:rPr>
      </w:pPr>
    </w:p>
    <w:p w14:paraId="05C00808" w14:textId="77777777" w:rsidR="00857C19" w:rsidRPr="00857C19" w:rsidRDefault="00857C19" w:rsidP="00857C19">
      <w:pPr>
        <w:rPr>
          <w:rFonts w:ascii="Cambria" w:hAnsi="Cambria"/>
          <w:sz w:val="32"/>
          <w:szCs w:val="32"/>
        </w:rPr>
      </w:pPr>
    </w:p>
    <w:p w14:paraId="022DACBB" w14:textId="77777777" w:rsidR="00857C19" w:rsidRPr="00857C19" w:rsidRDefault="00857C19" w:rsidP="00857C19">
      <w:pPr>
        <w:rPr>
          <w:rFonts w:ascii="Cambria" w:hAnsi="Cambria"/>
          <w:sz w:val="32"/>
          <w:szCs w:val="32"/>
        </w:rPr>
      </w:pPr>
    </w:p>
    <w:p w14:paraId="2D482DFE" w14:textId="77777777" w:rsidR="00857C19" w:rsidRPr="00857C19" w:rsidRDefault="00857C19" w:rsidP="00857C19">
      <w:pPr>
        <w:rPr>
          <w:rFonts w:ascii="Cambria" w:hAnsi="Cambria"/>
          <w:sz w:val="32"/>
          <w:szCs w:val="32"/>
        </w:rPr>
      </w:pPr>
    </w:p>
    <w:p w14:paraId="45193B9F" w14:textId="77777777" w:rsidR="00857C19" w:rsidRPr="00857C19" w:rsidRDefault="00857C19" w:rsidP="00857C19">
      <w:pPr>
        <w:rPr>
          <w:rFonts w:ascii="Cambria" w:hAnsi="Cambria"/>
          <w:sz w:val="32"/>
          <w:szCs w:val="32"/>
        </w:rPr>
      </w:pPr>
    </w:p>
    <w:p w14:paraId="74112524" w14:textId="77777777" w:rsidR="00857C19" w:rsidRPr="00857C19" w:rsidRDefault="00857C19" w:rsidP="00857C19">
      <w:pPr>
        <w:rPr>
          <w:rFonts w:ascii="Cambria" w:hAnsi="Cambria"/>
          <w:sz w:val="32"/>
          <w:szCs w:val="32"/>
        </w:rPr>
      </w:pPr>
    </w:p>
    <w:p w14:paraId="50CAC2E0" w14:textId="77777777" w:rsidR="00857C19" w:rsidRPr="00AD7A93" w:rsidRDefault="00857C19" w:rsidP="00AD7A93">
      <w:pPr>
        <w:jc w:val="center"/>
        <w:rPr>
          <w:rFonts w:ascii="Cambria" w:hAnsi="Cambria"/>
          <w:sz w:val="24"/>
          <w:szCs w:val="24"/>
        </w:rPr>
      </w:pPr>
      <w:r w:rsidRPr="00AD7A93">
        <w:rPr>
          <w:rFonts w:ascii="Cambria" w:hAnsi="Cambria"/>
          <w:sz w:val="24"/>
          <w:szCs w:val="24"/>
        </w:rPr>
        <w:t>The accompanying notes are an integral part of these financial statements.</w:t>
      </w:r>
    </w:p>
    <w:p w14:paraId="2BADA56B" w14:textId="77777777" w:rsidR="002421FB" w:rsidRDefault="00C60087">
      <w:pPr>
        <w:rPr>
          <w:rFonts w:ascii="Cambria" w:hAnsi="Cambria"/>
          <w:sz w:val="32"/>
          <w:szCs w:val="32"/>
        </w:rPr>
        <w:sectPr w:rsidR="002421FB" w:rsidSect="00A52152">
          <w:headerReference w:type="default" r:id="rId109"/>
          <w:pgSz w:w="12240" w:h="15840"/>
          <w:pgMar w:top="1980" w:right="1440" w:bottom="1080" w:left="1440" w:header="450" w:footer="720" w:gutter="0"/>
          <w:cols w:space="720"/>
          <w:docGrid w:linePitch="360"/>
        </w:sectPr>
      </w:pPr>
      <w:r>
        <w:rPr>
          <w:rFonts w:ascii="Cambria" w:hAnsi="Cambria"/>
          <w:sz w:val="32"/>
          <w:szCs w:val="32"/>
        </w:rPr>
        <w:br w:type="page"/>
      </w:r>
    </w:p>
    <w:bookmarkStart w:id="108" w:name="_Notes_to_the"/>
    <w:bookmarkStart w:id="109" w:name="_Toc85212089"/>
    <w:bookmarkStart w:id="110" w:name="_Toc86327262"/>
    <w:bookmarkStart w:id="111" w:name="_Toc213421246"/>
    <w:bookmarkEnd w:id="108"/>
    <w:p w14:paraId="4620E638" w14:textId="38A80243" w:rsidR="00C60087" w:rsidRPr="00AA113B" w:rsidRDefault="00666206" w:rsidP="00740E32">
      <w:pPr>
        <w:pStyle w:val="Heading2"/>
        <w:pBdr>
          <w:bottom w:val="single" w:sz="6" w:space="4" w:color="FFFFFF" w:themeColor="background1"/>
        </w:pBdr>
        <w:rPr>
          <w:color w:val="FFFFFF" w:themeColor="background1"/>
        </w:rPr>
      </w:pPr>
      <w:r w:rsidRPr="00AA113B">
        <w:rPr>
          <w:noProof/>
          <w:color w:val="FFFFFF" w:themeColor="background1"/>
        </w:rPr>
        <w:lastRenderedPageBreak/>
        <mc:AlternateContent>
          <mc:Choice Requires="wps">
            <w:drawing>
              <wp:anchor distT="0" distB="0" distL="114300" distR="114300" simplePos="0" relativeHeight="251626997" behindDoc="1" locked="0" layoutInCell="1" allowOverlap="1" wp14:anchorId="7810A602" wp14:editId="57C8D83C">
                <wp:simplePos x="0" y="0"/>
                <wp:positionH relativeFrom="column">
                  <wp:posOffset>-1318426</wp:posOffset>
                </wp:positionH>
                <wp:positionV relativeFrom="paragraph">
                  <wp:posOffset>-1328862</wp:posOffset>
                </wp:positionV>
                <wp:extent cx="8178414" cy="11694795"/>
                <wp:effectExtent l="57150" t="0" r="70485" b="135255"/>
                <wp:wrapNone/>
                <wp:docPr id="180459144" name="Rectangle 27"/>
                <wp:cNvGraphicFramePr/>
                <a:graphic xmlns:a="http://schemas.openxmlformats.org/drawingml/2006/main">
                  <a:graphicData uri="http://schemas.microsoft.com/office/word/2010/wordprocessingShape">
                    <wps:wsp>
                      <wps:cNvSpPr/>
                      <wps:spPr>
                        <a:xfrm>
                          <a:off x="0" y="0"/>
                          <a:ext cx="8178414" cy="11694795"/>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86C8B" id="Rectangle 27" o:spid="_x0000_s1026" style="position:absolute;margin-left:-103.8pt;margin-top:-104.65pt;width:643.95pt;height:920.85pt;z-index:-251689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" fillcolor="#424e62" strokecolor="#0b0f19 [484]" strokeweight="1pt">
                <v:shadow on="t" color="black" offset="0,4pt"/>
              </v:rect>
            </w:pict>
          </mc:Fallback>
        </mc:AlternateContent>
      </w:r>
      <w:r w:rsidR="00916456" w:rsidRPr="00AA113B">
        <w:rPr>
          <w:noProof/>
          <w:color w:val="FFFFFF" w:themeColor="background1"/>
        </w:rPr>
        <mc:AlternateContent>
          <mc:Choice Requires="wps">
            <w:drawing>
              <wp:anchor distT="0" distB="0" distL="114300" distR="114300" simplePos="0" relativeHeight="251863552" behindDoc="0" locked="0" layoutInCell="1" allowOverlap="1" wp14:anchorId="2687E0D2" wp14:editId="45A89779">
                <wp:simplePos x="0" y="0"/>
                <wp:positionH relativeFrom="page">
                  <wp:posOffset>45720</wp:posOffset>
                </wp:positionH>
                <wp:positionV relativeFrom="page">
                  <wp:posOffset>1112520</wp:posOffset>
                </wp:positionV>
                <wp:extent cx="7726680" cy="0"/>
                <wp:effectExtent l="0" t="19050" r="26670" b="19050"/>
                <wp:wrapNone/>
                <wp:docPr id="1650203324" name="Straight Connector 67"/>
                <wp:cNvGraphicFramePr/>
                <a:graphic xmlns:a="http://schemas.openxmlformats.org/drawingml/2006/main">
                  <a:graphicData uri="http://schemas.microsoft.com/office/word/2010/wordprocessingShape">
                    <wps:wsp>
                      <wps:cNvCnPr/>
                      <wps:spPr>
                        <a:xfrm>
                          <a:off x="0" y="0"/>
                          <a:ext cx="772668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7700C9" id="Straight Connector 67" o:spid="_x0000_s1026" style="position:absolute;z-index:251863552;visibility:visible;mso-wrap-style:square;mso-wrap-distance-left:9pt;mso-wrap-distance-top:0;mso-wrap-distance-right:9pt;mso-wrap-distance-bottom:0;mso-position-horizontal:absolute;mso-position-horizontal-relative:page;mso-position-vertical:absolute;mso-position-vertical-relative:page" from="3.6pt,87.6pt" to="612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" strokecolor="white [3212]" strokeweight="2.25pt">
                <v:stroke joinstyle="miter"/>
                <w10:wrap anchorx="page" anchory="page"/>
              </v:line>
            </w:pict>
          </mc:Fallback>
        </mc:AlternateContent>
      </w:r>
      <w:r w:rsidR="00916456" w:rsidRPr="00AA113B">
        <w:rPr>
          <w:noProof/>
          <w:color w:val="FFFFFF" w:themeColor="background1"/>
        </w:rPr>
        <w:drawing>
          <wp:anchor distT="0" distB="0" distL="114300" distR="114300" simplePos="0" relativeHeight="251862528" behindDoc="0" locked="0" layoutInCell="1" allowOverlap="1" wp14:anchorId="50430730" wp14:editId="589A3B1C">
            <wp:simplePos x="0" y="0"/>
            <wp:positionH relativeFrom="page">
              <wp:posOffset>638175</wp:posOffset>
            </wp:positionH>
            <wp:positionV relativeFrom="page">
              <wp:posOffset>175260</wp:posOffset>
            </wp:positionV>
            <wp:extent cx="798830" cy="786765"/>
            <wp:effectExtent l="0" t="0" r="1270" b="0"/>
            <wp:wrapSquare wrapText="bothSides"/>
            <wp:docPr id="714425615"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00C60087" w:rsidRPr="00AA113B">
        <w:rPr>
          <w:color w:val="FFFFFF" w:themeColor="background1"/>
        </w:rPr>
        <w:t>Notes to the Financial Statements</w:t>
      </w:r>
      <w:bookmarkEnd w:id="109"/>
      <w:bookmarkEnd w:id="110"/>
      <w:bookmarkEnd w:id="111"/>
    </w:p>
    <w:p w14:paraId="772CD000" w14:textId="1FF9FA3F" w:rsidR="00C60087" w:rsidRPr="00AA113B" w:rsidRDefault="00C60087" w:rsidP="00C60087">
      <w:pPr>
        <w:rPr>
          <w:color w:val="FFFFFF" w:themeColor="background1"/>
        </w:rPr>
      </w:pPr>
    </w:p>
    <w:p w14:paraId="0D349227" w14:textId="0E46F9BD"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1</w:t>
      </w:r>
      <w:r w:rsidRPr="00AA113B">
        <w:rPr>
          <w:color w:val="FFFFFF" w:themeColor="background1"/>
        </w:rPr>
        <w:tab/>
      </w:r>
      <w:r w:rsidRPr="00AA113B">
        <w:rPr>
          <w:color w:val="FFFFFF" w:themeColor="background1"/>
        </w:rPr>
        <w:tab/>
      </w:r>
      <w:hyperlink w:anchor="_NOTE_1_—" w:history="1">
        <w:r w:rsidR="00831E28" w:rsidRPr="00AA113B">
          <w:rPr>
            <w:rStyle w:val="Hyperlink"/>
            <w:b w:val="0"/>
            <w:color w:val="FFFFFF" w:themeColor="background1"/>
            <w:sz w:val="28"/>
            <w:szCs w:val="28"/>
          </w:rPr>
          <w:t>Summary of Significant Accounting Policies</w:t>
        </w:r>
      </w:hyperlink>
      <w:r w:rsidR="00C60087" w:rsidRPr="00AA113B">
        <w:rPr>
          <w:b w:val="0"/>
          <w:bCs w:val="0"/>
          <w:color w:val="FFFFFF" w:themeColor="background1"/>
          <w:sz w:val="28"/>
          <w:szCs w:val="28"/>
        </w:rPr>
        <w:tab/>
      </w:r>
      <w:r w:rsidR="00C60087" w:rsidRPr="00AA113B">
        <w:rPr>
          <w:b w:val="0"/>
          <w:bCs w:val="0"/>
          <w:color w:val="FFFFFF" w:themeColor="background1"/>
          <w:sz w:val="28"/>
          <w:szCs w:val="28"/>
        </w:rPr>
        <w:tab/>
      </w:r>
      <w:r w:rsidR="00C60087" w:rsidRPr="00AA113B">
        <w:rPr>
          <w:b w:val="0"/>
          <w:bCs w:val="0"/>
          <w:color w:val="FFFFFF" w:themeColor="background1"/>
          <w:sz w:val="28"/>
          <w:szCs w:val="28"/>
        </w:rPr>
        <w:tab/>
      </w:r>
    </w:p>
    <w:p w14:paraId="34D7A947" w14:textId="0CA0C50E"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2</w:t>
      </w:r>
      <w:r w:rsidRPr="00AA113B">
        <w:rPr>
          <w:color w:val="FFFFFF" w:themeColor="background1"/>
        </w:rPr>
        <w:tab/>
      </w:r>
      <w:r w:rsidRPr="00AA113B">
        <w:rPr>
          <w:color w:val="FFFFFF" w:themeColor="background1"/>
        </w:rPr>
        <w:tab/>
      </w:r>
      <w:hyperlink w:anchor="_NOTE_2_–" w:history="1">
        <w:r w:rsidRPr="00AA113B">
          <w:rPr>
            <w:rStyle w:val="Hyperlink"/>
            <w:b w:val="0"/>
            <w:bCs w:val="0"/>
            <w:color w:val="FFFFFF" w:themeColor="background1"/>
            <w:sz w:val="28"/>
            <w:szCs w:val="28"/>
          </w:rPr>
          <w:t>Fund</w:t>
        </w:r>
        <w:r w:rsidR="00C60087" w:rsidRPr="00AA113B">
          <w:rPr>
            <w:rStyle w:val="Hyperlink"/>
            <w:b w:val="0"/>
            <w:bCs w:val="0"/>
            <w:color w:val="FFFFFF" w:themeColor="background1"/>
            <w:sz w:val="28"/>
            <w:szCs w:val="28"/>
          </w:rPr>
          <w:t xml:space="preserve"> Balance with Treasury</w:t>
        </w:r>
      </w:hyperlink>
      <w:r w:rsidR="00C60087" w:rsidRPr="00AA113B">
        <w:rPr>
          <w:b w:val="0"/>
          <w:bCs w:val="0"/>
          <w:color w:val="FFFFFF" w:themeColor="background1"/>
          <w:sz w:val="28"/>
          <w:szCs w:val="28"/>
        </w:rPr>
        <w:tab/>
      </w:r>
      <w:r w:rsidR="00C60087" w:rsidRPr="00AA113B">
        <w:rPr>
          <w:b w:val="0"/>
          <w:bCs w:val="0"/>
          <w:color w:val="FFFFFF" w:themeColor="background1"/>
          <w:sz w:val="28"/>
          <w:szCs w:val="28"/>
        </w:rPr>
        <w:tab/>
      </w:r>
      <w:r w:rsidR="00C60087" w:rsidRPr="00AA113B">
        <w:rPr>
          <w:b w:val="0"/>
          <w:bCs w:val="0"/>
          <w:color w:val="FFFFFF" w:themeColor="background1"/>
          <w:sz w:val="28"/>
          <w:szCs w:val="28"/>
        </w:rPr>
        <w:tab/>
      </w:r>
    </w:p>
    <w:p w14:paraId="37BF3BC7" w14:textId="230854E7"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3</w:t>
      </w:r>
      <w:r w:rsidRPr="00AA113B">
        <w:rPr>
          <w:color w:val="FFFFFF" w:themeColor="background1"/>
        </w:rPr>
        <w:tab/>
      </w:r>
      <w:r w:rsidRPr="00AA113B">
        <w:rPr>
          <w:color w:val="FFFFFF" w:themeColor="background1"/>
        </w:rPr>
        <w:tab/>
      </w:r>
      <w:hyperlink w:anchor="_NOTE_3_–" w:history="1">
        <w:r w:rsidRPr="00AA113B">
          <w:rPr>
            <w:rStyle w:val="Hyperlink"/>
            <w:b w:val="0"/>
            <w:bCs w:val="0"/>
            <w:color w:val="FFFFFF" w:themeColor="background1"/>
            <w:sz w:val="28"/>
            <w:szCs w:val="28"/>
          </w:rPr>
          <w:t>Property,</w:t>
        </w:r>
        <w:r w:rsidR="00C60087" w:rsidRPr="00AA113B">
          <w:rPr>
            <w:rStyle w:val="Hyperlink"/>
            <w:b w:val="0"/>
            <w:bCs w:val="0"/>
            <w:color w:val="FFFFFF" w:themeColor="background1"/>
            <w:sz w:val="28"/>
            <w:szCs w:val="28"/>
          </w:rPr>
          <w:t xml:space="preserve"> Plant, and Equipment, Net</w:t>
        </w:r>
        <w:r w:rsidR="00C60087" w:rsidRPr="00AA113B">
          <w:rPr>
            <w:rStyle w:val="Hyperlink"/>
            <w:b w:val="0"/>
            <w:bCs w:val="0"/>
            <w:color w:val="FFFFFF" w:themeColor="background1"/>
            <w:sz w:val="28"/>
            <w:szCs w:val="28"/>
          </w:rPr>
          <w:tab/>
        </w:r>
      </w:hyperlink>
    </w:p>
    <w:p w14:paraId="3E6524F3" w14:textId="3261F401"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4</w:t>
      </w:r>
      <w:r w:rsidRPr="00AA113B">
        <w:rPr>
          <w:color w:val="FFFFFF" w:themeColor="background1"/>
        </w:rPr>
        <w:tab/>
      </w:r>
      <w:r w:rsidRPr="00AA113B">
        <w:rPr>
          <w:color w:val="FFFFFF" w:themeColor="background1"/>
        </w:rPr>
        <w:tab/>
      </w:r>
      <w:hyperlink w:anchor="_NOTE_4_–" w:history="1">
        <w:r w:rsidRPr="00AA113B">
          <w:rPr>
            <w:rStyle w:val="Hyperlink"/>
            <w:b w:val="0"/>
            <w:bCs w:val="0"/>
            <w:color w:val="FFFFFF" w:themeColor="background1"/>
            <w:sz w:val="28"/>
            <w:szCs w:val="28"/>
          </w:rPr>
          <w:t>Liabilities</w:t>
        </w:r>
        <w:r w:rsidR="00C60087" w:rsidRPr="00AA113B">
          <w:rPr>
            <w:rStyle w:val="Hyperlink"/>
            <w:b w:val="0"/>
            <w:bCs w:val="0"/>
            <w:color w:val="FFFFFF" w:themeColor="background1"/>
            <w:sz w:val="28"/>
            <w:szCs w:val="28"/>
          </w:rPr>
          <w:t xml:space="preserve"> Not Covered By Budgetary Resources</w:t>
        </w:r>
      </w:hyperlink>
    </w:p>
    <w:p w14:paraId="49474815" w14:textId="1A199250"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5</w:t>
      </w:r>
      <w:r w:rsidRPr="00AA113B">
        <w:rPr>
          <w:color w:val="FFFFFF" w:themeColor="background1"/>
        </w:rPr>
        <w:tab/>
      </w:r>
      <w:r w:rsidRPr="00AA113B">
        <w:rPr>
          <w:color w:val="FFFFFF" w:themeColor="background1"/>
        </w:rPr>
        <w:tab/>
      </w:r>
      <w:hyperlink w:anchor="_NOTE_5_—" w:history="1">
        <w:r w:rsidRPr="00AA113B">
          <w:rPr>
            <w:rStyle w:val="Hyperlink"/>
            <w:b w:val="0"/>
            <w:bCs w:val="0"/>
            <w:color w:val="FFFFFF" w:themeColor="background1"/>
            <w:sz w:val="28"/>
            <w:szCs w:val="28"/>
          </w:rPr>
          <w:t>Other</w:t>
        </w:r>
        <w:r w:rsidR="00C60087" w:rsidRPr="00AA113B">
          <w:rPr>
            <w:rStyle w:val="Hyperlink"/>
            <w:b w:val="0"/>
            <w:bCs w:val="0"/>
            <w:color w:val="FFFFFF" w:themeColor="background1"/>
            <w:sz w:val="28"/>
            <w:szCs w:val="28"/>
          </w:rPr>
          <w:t xml:space="preserve"> Liabilities</w:t>
        </w:r>
      </w:hyperlink>
    </w:p>
    <w:p w14:paraId="4EA5243F" w14:textId="49B1C6DD"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6</w:t>
      </w:r>
      <w:r w:rsidRPr="00AA113B">
        <w:rPr>
          <w:color w:val="FFFFFF" w:themeColor="background1"/>
        </w:rPr>
        <w:tab/>
      </w:r>
      <w:r w:rsidRPr="00AA113B">
        <w:rPr>
          <w:color w:val="FFFFFF" w:themeColor="background1"/>
        </w:rPr>
        <w:tab/>
      </w:r>
      <w:hyperlink w:anchor="_NOTE_6_–_1" w:history="1">
        <w:r w:rsidRPr="00AA113B">
          <w:rPr>
            <w:rStyle w:val="Hyperlink"/>
            <w:b w:val="0"/>
            <w:bCs w:val="0"/>
            <w:color w:val="FFFFFF" w:themeColor="background1"/>
            <w:sz w:val="28"/>
            <w:szCs w:val="28"/>
          </w:rPr>
          <w:t>Leases</w:t>
        </w:r>
      </w:hyperlink>
    </w:p>
    <w:p w14:paraId="306C5DD4" w14:textId="4426E394" w:rsidR="00C60087" w:rsidRPr="00AA113B" w:rsidRDefault="00A443B9" w:rsidP="00740E32">
      <w:pPr>
        <w:pStyle w:val="Cambriabold"/>
        <w:spacing w:line="360" w:lineRule="auto"/>
        <w:ind w:right="-90"/>
        <w:rPr>
          <w:b w:val="0"/>
          <w:bCs w:val="0"/>
          <w:color w:val="FFFFFF" w:themeColor="background1"/>
          <w:sz w:val="28"/>
          <w:szCs w:val="28"/>
        </w:rPr>
      </w:pPr>
      <w:r w:rsidRPr="00AA113B">
        <w:rPr>
          <w:color w:val="FFFFFF" w:themeColor="background1"/>
        </w:rPr>
        <w:t>NOTE 7</w:t>
      </w:r>
      <w:r w:rsidRPr="00AA113B">
        <w:rPr>
          <w:color w:val="FFFFFF" w:themeColor="background1"/>
        </w:rPr>
        <w:tab/>
      </w:r>
      <w:r w:rsidRPr="00AA113B">
        <w:rPr>
          <w:color w:val="FFFFFF" w:themeColor="background1"/>
        </w:rPr>
        <w:tab/>
      </w:r>
      <w:hyperlink w:anchor="_NOTE_7–_INTER-ENTITY" w:history="1">
        <w:r w:rsidRPr="00AA113B">
          <w:rPr>
            <w:rStyle w:val="Hyperlink"/>
            <w:b w:val="0"/>
            <w:bCs w:val="0"/>
            <w:color w:val="FFFFFF" w:themeColor="background1"/>
            <w:sz w:val="28"/>
            <w:szCs w:val="28"/>
          </w:rPr>
          <w:t>Inter-Entity</w:t>
        </w:r>
        <w:r w:rsidR="00C60087" w:rsidRPr="00AA113B">
          <w:rPr>
            <w:rStyle w:val="Hyperlink"/>
            <w:b w:val="0"/>
            <w:bCs w:val="0"/>
            <w:color w:val="FFFFFF" w:themeColor="background1"/>
            <w:sz w:val="28"/>
            <w:szCs w:val="28"/>
          </w:rPr>
          <w:t xml:space="preserve"> Costs</w:t>
        </w:r>
      </w:hyperlink>
    </w:p>
    <w:p w14:paraId="485858CB" w14:textId="623FFADF" w:rsidR="00C60087" w:rsidRPr="00AA113B" w:rsidRDefault="00A443B9" w:rsidP="00740E32">
      <w:pPr>
        <w:pStyle w:val="Cambriabold"/>
        <w:spacing w:line="360" w:lineRule="auto"/>
        <w:ind w:left="2160" w:right="-90" w:hanging="2160"/>
        <w:rPr>
          <w:b w:val="0"/>
          <w:bCs w:val="0"/>
          <w:color w:val="FFFFFF" w:themeColor="background1"/>
          <w:sz w:val="28"/>
          <w:szCs w:val="28"/>
        </w:rPr>
      </w:pPr>
      <w:r w:rsidRPr="00AA113B">
        <w:rPr>
          <w:color w:val="FFFFFF" w:themeColor="background1"/>
        </w:rPr>
        <w:t>NOTE 8</w:t>
      </w:r>
      <w:r w:rsidRPr="00AA113B">
        <w:rPr>
          <w:color w:val="FFFFFF" w:themeColor="background1"/>
        </w:rPr>
        <w:tab/>
      </w:r>
      <w:hyperlink w:anchor="_NOTE_8_–UNOBLIGATED" w:history="1">
        <w:r w:rsidRPr="00AA113B">
          <w:rPr>
            <w:rStyle w:val="Hyperlink"/>
            <w:b w:val="0"/>
            <w:bCs w:val="0"/>
            <w:color w:val="FFFFFF" w:themeColor="background1"/>
            <w:sz w:val="28"/>
            <w:szCs w:val="28"/>
          </w:rPr>
          <w:t>Unobligated Balance from Prior Year Budget Authority, Net</w:t>
        </w:r>
      </w:hyperlink>
    </w:p>
    <w:p w14:paraId="0053483B" w14:textId="5D507447" w:rsidR="00C60087" w:rsidRPr="00AA113B" w:rsidRDefault="00A443B9" w:rsidP="00740E32">
      <w:pPr>
        <w:pStyle w:val="Cambriabold"/>
        <w:spacing w:line="360" w:lineRule="auto"/>
        <w:ind w:left="1080" w:right="-90" w:hanging="1080"/>
        <w:rPr>
          <w:b w:val="0"/>
          <w:bCs w:val="0"/>
          <w:color w:val="FFFFFF" w:themeColor="background1"/>
          <w:sz w:val="28"/>
          <w:szCs w:val="28"/>
        </w:rPr>
      </w:pPr>
      <w:r w:rsidRPr="00AA113B">
        <w:rPr>
          <w:color w:val="FFFFFF" w:themeColor="background1"/>
        </w:rPr>
        <w:t>NOTE 9</w:t>
      </w:r>
      <w:r w:rsidRPr="00AA113B">
        <w:rPr>
          <w:color w:val="FFFFFF" w:themeColor="background1"/>
        </w:rPr>
        <w:tab/>
      </w:r>
      <w:r w:rsidRPr="00AA113B">
        <w:rPr>
          <w:color w:val="FFFFFF" w:themeColor="background1"/>
        </w:rPr>
        <w:tab/>
      </w:r>
      <w:r w:rsidRPr="00AA113B">
        <w:rPr>
          <w:color w:val="FFFFFF" w:themeColor="background1"/>
        </w:rPr>
        <w:tab/>
      </w:r>
      <w:hyperlink w:anchor="_NOTE_9_–" w:history="1">
        <w:r w:rsidRPr="00AA113B">
          <w:rPr>
            <w:rStyle w:val="Hyperlink"/>
            <w:b w:val="0"/>
            <w:bCs w:val="0"/>
            <w:color w:val="FFFFFF" w:themeColor="background1"/>
            <w:sz w:val="28"/>
            <w:szCs w:val="28"/>
          </w:rPr>
          <w:t>Undelivered Orders at the End of the Period</w:t>
        </w:r>
      </w:hyperlink>
    </w:p>
    <w:p w14:paraId="1606A2CD" w14:textId="72899DCF" w:rsidR="00C60087" w:rsidRPr="00AA113B" w:rsidRDefault="00A443B9" w:rsidP="00502B1A">
      <w:pPr>
        <w:pStyle w:val="Cambriabold"/>
        <w:spacing w:line="360" w:lineRule="auto"/>
        <w:ind w:left="2160" w:right="-90" w:hanging="2160"/>
        <w:jc w:val="left"/>
        <w:rPr>
          <w:b w:val="0"/>
          <w:bCs w:val="0"/>
          <w:color w:val="FFFFFF" w:themeColor="background1"/>
          <w:sz w:val="28"/>
          <w:szCs w:val="28"/>
        </w:rPr>
      </w:pPr>
      <w:r w:rsidRPr="00AA113B">
        <w:rPr>
          <w:color w:val="FFFFFF" w:themeColor="background1"/>
        </w:rPr>
        <w:t>NOTE 10</w:t>
      </w:r>
      <w:r w:rsidRPr="00AA113B">
        <w:rPr>
          <w:color w:val="FFFFFF" w:themeColor="background1"/>
        </w:rPr>
        <w:tab/>
      </w:r>
      <w:hyperlink w:anchor="_NOTE_10_–_1" w:history="1">
        <w:r w:rsidRPr="00AA113B">
          <w:rPr>
            <w:rStyle w:val="Hyperlink"/>
            <w:b w:val="0"/>
            <w:bCs w:val="0"/>
            <w:color w:val="FFFFFF" w:themeColor="background1"/>
            <w:sz w:val="28"/>
            <w:szCs w:val="28"/>
          </w:rPr>
          <w:t>Explanation of Differences Between the Statement of Budgetary Resources and the Budget of the U.S. Government</w:t>
        </w:r>
      </w:hyperlink>
    </w:p>
    <w:p w14:paraId="17A06220" w14:textId="10A7F988" w:rsidR="00C60087" w:rsidRPr="00AA113B" w:rsidRDefault="00A443B9" w:rsidP="00740E32">
      <w:pPr>
        <w:pStyle w:val="Cambriabold"/>
        <w:spacing w:line="360" w:lineRule="auto"/>
        <w:ind w:left="1170" w:right="-90" w:hanging="1170"/>
        <w:rPr>
          <w:rStyle w:val="Hyperlink"/>
          <w:b w:val="0"/>
          <w:bCs w:val="0"/>
          <w:color w:val="FFFFFF" w:themeColor="background1"/>
          <w:sz w:val="28"/>
          <w:szCs w:val="28"/>
          <w:u w:val="none"/>
        </w:rPr>
      </w:pPr>
      <w:r w:rsidRPr="00AA113B">
        <w:rPr>
          <w:color w:val="FFFFFF" w:themeColor="background1"/>
        </w:rPr>
        <w:t>NOTE 11</w:t>
      </w:r>
      <w:r w:rsidRPr="00AA113B">
        <w:rPr>
          <w:color w:val="FFFFFF" w:themeColor="background1"/>
        </w:rPr>
        <w:tab/>
      </w:r>
      <w:r w:rsidRPr="00AA113B">
        <w:rPr>
          <w:color w:val="FFFFFF" w:themeColor="background1"/>
        </w:rPr>
        <w:tab/>
      </w:r>
      <w:r w:rsidRPr="00AA113B">
        <w:rPr>
          <w:color w:val="FFFFFF" w:themeColor="background1"/>
        </w:rPr>
        <w:tab/>
      </w:r>
      <w:hyperlink w:anchor="_NOTE_11_–_1" w:history="1">
        <w:r w:rsidRPr="00AA113B">
          <w:rPr>
            <w:rStyle w:val="Hyperlink"/>
            <w:b w:val="0"/>
            <w:bCs w:val="0"/>
            <w:color w:val="FFFFFF" w:themeColor="background1"/>
            <w:sz w:val="28"/>
            <w:szCs w:val="28"/>
          </w:rPr>
          <w:t>Reconciliation of Net Cost to Budgetary Net Outlays</w:t>
        </w:r>
      </w:hyperlink>
      <w:r w:rsidRPr="00AA113B">
        <w:rPr>
          <w:color w:val="FFFFFF" w:themeColor="background1"/>
        </w:rPr>
        <w:t xml:space="preserve"> </w:t>
      </w:r>
    </w:p>
    <w:p w14:paraId="5BE4D6FA" w14:textId="77777777" w:rsidR="00482D50" w:rsidRPr="00740E32" w:rsidRDefault="00482D50" w:rsidP="00740E32">
      <w:pPr>
        <w:pStyle w:val="Cambriabold"/>
        <w:spacing w:line="360" w:lineRule="auto"/>
        <w:ind w:left="1170" w:right="-90" w:hanging="1170"/>
        <w:rPr>
          <w:b w:val="0"/>
          <w:bCs w:val="0"/>
          <w:color w:val="FFFFFF" w:themeColor="background1"/>
        </w:rPr>
      </w:pPr>
    </w:p>
    <w:p w14:paraId="7EE12AB0" w14:textId="4A8E03C1" w:rsidR="00C60087" w:rsidRPr="00740E32" w:rsidRDefault="00C60087" w:rsidP="00C60087">
      <w:pPr>
        <w:pStyle w:val="Cambriabold"/>
        <w:ind w:left="990" w:hanging="990"/>
        <w:rPr>
          <w:b w:val="0"/>
          <w:bCs w:val="0"/>
          <w:color w:val="FFFFFF" w:themeColor="background1"/>
        </w:rPr>
      </w:pPr>
    </w:p>
    <w:p w14:paraId="1F2F95C3" w14:textId="7982C0E6" w:rsidR="00C60087" w:rsidRPr="00740E32" w:rsidRDefault="00C60087" w:rsidP="00C60087">
      <w:pPr>
        <w:pStyle w:val="Cambriabold"/>
        <w:rPr>
          <w:b w:val="0"/>
          <w:bCs w:val="0"/>
          <w:color w:val="FFFFFF" w:themeColor="background1"/>
        </w:rPr>
      </w:pPr>
    </w:p>
    <w:p w14:paraId="7F910E36" w14:textId="1834B0D0" w:rsidR="00C60087" w:rsidRDefault="00C60087" w:rsidP="00C60087">
      <w:pPr>
        <w:pStyle w:val="Cambriabold"/>
        <w:rPr>
          <w:b w:val="0"/>
          <w:bCs w:val="0"/>
          <w:color w:val="FFFFFF" w:themeColor="background1"/>
        </w:rPr>
      </w:pPr>
    </w:p>
    <w:p w14:paraId="4045EAD5" w14:textId="77777777" w:rsidR="00AA113B" w:rsidRPr="00740E32" w:rsidRDefault="00AA113B" w:rsidP="00C60087">
      <w:pPr>
        <w:pStyle w:val="Cambriabold"/>
        <w:rPr>
          <w:b w:val="0"/>
          <w:bCs w:val="0"/>
          <w:color w:val="FFFFFF" w:themeColor="background1"/>
        </w:rPr>
      </w:pPr>
    </w:p>
    <w:p w14:paraId="03CF1B11" w14:textId="76C2CFF6" w:rsidR="00C60087" w:rsidRPr="00C60087" w:rsidRDefault="00C60087" w:rsidP="00C60087">
      <w:pPr>
        <w:pStyle w:val="Heading4"/>
      </w:pPr>
      <w:bookmarkStart w:id="112" w:name="_NOTE_1_—"/>
      <w:bookmarkEnd w:id="112"/>
      <w:r w:rsidRPr="00C60087">
        <w:lastRenderedPageBreak/>
        <w:t xml:space="preserve">NOTE 1 </w:t>
      </w:r>
      <w:r w:rsidR="00B82E76">
        <w:t>—</w:t>
      </w:r>
      <w:r w:rsidRPr="00C60087">
        <w:t xml:space="preserve"> SUMMARY OF SIGNIFICANT ACCOUNTING POLICIES</w:t>
      </w:r>
    </w:p>
    <w:p w14:paraId="3B4E00F1" w14:textId="4A22B898" w:rsidR="00C60087" w:rsidRPr="00F82A7A" w:rsidRDefault="00C60087" w:rsidP="00C60087">
      <w:pPr>
        <w:pStyle w:val="Cambriabold"/>
        <w:spacing w:line="276" w:lineRule="auto"/>
        <w:rPr>
          <w:i/>
        </w:rPr>
      </w:pPr>
      <w:r w:rsidRPr="00F82A7A">
        <w:t>A. Reporting Entity</w:t>
      </w:r>
    </w:p>
    <w:p w14:paraId="3A86E602" w14:textId="55CF75DB" w:rsidR="00C60087" w:rsidRPr="00F82A7A" w:rsidRDefault="00C408AB" w:rsidP="00C60087">
      <w:pPr>
        <w:spacing w:line="276" w:lineRule="auto"/>
        <w:jc w:val="both"/>
        <w:rPr>
          <w:rFonts w:ascii="Cambria" w:hAnsi="Cambria"/>
          <w:sz w:val="24"/>
          <w:szCs w:val="24"/>
        </w:rPr>
      </w:pPr>
      <w:r>
        <w:rPr>
          <w:rFonts w:ascii="Cambria" w:hAnsi="Cambria"/>
          <w:sz w:val="24"/>
          <w:szCs w:val="24"/>
        </w:rPr>
        <w:t>PCLOB</w:t>
      </w:r>
      <w:r w:rsidR="00C60087" w:rsidRPr="00F82A7A">
        <w:rPr>
          <w:rFonts w:ascii="Cambria" w:hAnsi="Cambria"/>
          <w:sz w:val="24"/>
          <w:szCs w:val="24"/>
        </w:rPr>
        <w:t xml:space="preserve"> was established as an independent agency within the executive branch under its enabling statute, 42 U.S.C. § 2000ee. The reporting entity is comprised of a general fund (funds not earmarked by law for a specific purpose), operating as a single entity under a single program.</w:t>
      </w:r>
    </w:p>
    <w:p w14:paraId="6432A700" w14:textId="3CF41A33" w:rsidR="00C60087" w:rsidRPr="00F82A7A" w:rsidRDefault="00C60087" w:rsidP="00C60087">
      <w:pPr>
        <w:spacing w:line="276" w:lineRule="auto"/>
        <w:jc w:val="both"/>
        <w:rPr>
          <w:rFonts w:ascii="Cambria" w:hAnsi="Cambria"/>
          <w:sz w:val="24"/>
          <w:szCs w:val="24"/>
        </w:rPr>
      </w:pPr>
      <w:r w:rsidRPr="00F82A7A">
        <w:rPr>
          <w:rFonts w:ascii="Cambria" w:hAnsi="Cambria"/>
          <w:sz w:val="24"/>
          <w:szCs w:val="24"/>
        </w:rPr>
        <w:t>PCLOB is a component of the U.S. Government. For this reason, some of the assets and liabilities reported by the entity may be eliminated for government-wide reporting because they are offset by assets and liabilities of another U.S. Government entity. These financial statements should be read with the realization that they are for a component of the U.S. Government</w:t>
      </w:r>
      <w:r w:rsidR="00834564">
        <w:rPr>
          <w:rFonts w:ascii="Cambria" w:hAnsi="Cambria"/>
          <w:sz w:val="24"/>
          <w:szCs w:val="24"/>
        </w:rPr>
        <w:t>.</w:t>
      </w:r>
    </w:p>
    <w:p w14:paraId="063DA7C2" w14:textId="311088DE" w:rsidR="00C60087" w:rsidRPr="00F82A7A" w:rsidRDefault="00C60087" w:rsidP="00C60087">
      <w:pPr>
        <w:pStyle w:val="Cambriabold"/>
        <w:spacing w:line="276" w:lineRule="auto"/>
        <w:rPr>
          <w:i/>
        </w:rPr>
      </w:pPr>
      <w:r w:rsidRPr="00F82A7A">
        <w:t>B. Basis of Presentation</w:t>
      </w:r>
    </w:p>
    <w:p w14:paraId="06598184" w14:textId="12E93F35" w:rsidR="00C60087" w:rsidRPr="00F82A7A" w:rsidRDefault="00C60087" w:rsidP="00C60087">
      <w:pPr>
        <w:pStyle w:val="BodyText3"/>
        <w:spacing w:line="276" w:lineRule="auto"/>
        <w:rPr>
          <w:rFonts w:ascii="Cambria" w:hAnsi="Cambria"/>
        </w:rPr>
      </w:pPr>
      <w:r w:rsidRPr="00F82A7A">
        <w:rPr>
          <w:rFonts w:ascii="Cambria" w:hAnsi="Cambria"/>
        </w:rPr>
        <w:t xml:space="preserve">The financial statements have been prepared to report on the financial position and results of operations of PCLOB. </w:t>
      </w:r>
      <w:r w:rsidRPr="00F82A7A">
        <w:rPr>
          <w:rFonts w:ascii="Cambria" w:hAnsi="Cambria"/>
          <w:color w:val="1B1B19"/>
        </w:rPr>
        <w:t>The Balance Sheet presents the financial position of the agency. The Statement of Net Cost presents the agency’s operating results</w:t>
      </w:r>
      <w:r w:rsidR="001872FA">
        <w:rPr>
          <w:rFonts w:ascii="Cambria" w:hAnsi="Cambria"/>
          <w:color w:val="1B1B19"/>
        </w:rPr>
        <w:t>. T</w:t>
      </w:r>
      <w:r w:rsidRPr="00F82A7A">
        <w:rPr>
          <w:rFonts w:ascii="Cambria" w:hAnsi="Cambria"/>
          <w:color w:val="1B1B19"/>
        </w:rPr>
        <w:t>he Statement of Changes in Net Position displays the changes in the agency’s equity accounts. The Statement of Budgetary Resources presents the sources, status, and uses of the agency’s resources and follows the rules for the budget of the U.S. Government.</w:t>
      </w:r>
    </w:p>
    <w:p w14:paraId="32CA55BC" w14:textId="3C8499DA" w:rsidR="00C60087" w:rsidRPr="00F82A7A" w:rsidRDefault="00C60087" w:rsidP="00C60087">
      <w:pPr>
        <w:pStyle w:val="BodyText3"/>
        <w:keepNext/>
        <w:keepLines/>
        <w:spacing w:before="240" w:line="276" w:lineRule="auto"/>
        <w:rPr>
          <w:rFonts w:ascii="Cambria" w:hAnsi="Cambria"/>
        </w:rPr>
      </w:pPr>
      <w:r w:rsidRPr="00F82A7A">
        <w:rPr>
          <w:rFonts w:ascii="Cambria" w:hAnsi="Cambria"/>
        </w:rPr>
        <w:t xml:space="preserve">These financial statements are a requirement of the </w:t>
      </w:r>
      <w:hyperlink r:id="rId111" w:history="1">
        <w:r w:rsidR="0032457C" w:rsidRPr="002A73B9">
          <w:rPr>
            <w:rStyle w:val="Hyperlink"/>
            <w:rFonts w:ascii="Cambria" w:hAnsi="Cambria"/>
          </w:rPr>
          <w:t>Accountability of Tax Dollars Act</w:t>
        </w:r>
      </w:hyperlink>
      <w:r w:rsidR="0032457C" w:rsidRPr="0032457C">
        <w:rPr>
          <w:rFonts w:ascii="Cambria" w:hAnsi="Cambria"/>
        </w:rPr>
        <w:t xml:space="preserve"> </w:t>
      </w:r>
      <w:r w:rsidRPr="00F82A7A">
        <w:rPr>
          <w:rFonts w:ascii="Cambria" w:hAnsi="Cambria"/>
        </w:rPr>
        <w:t>and have been prepared from, and are fully supported by</w:t>
      </w:r>
      <w:r>
        <w:rPr>
          <w:rFonts w:ascii="Cambria" w:hAnsi="Cambria"/>
        </w:rPr>
        <w:t>, the</w:t>
      </w:r>
      <w:r w:rsidRPr="00F82A7A">
        <w:rPr>
          <w:rFonts w:ascii="Cambria" w:hAnsi="Cambria"/>
        </w:rPr>
        <w:t xml:space="preserve"> records of PCLOB in accordance with U.S. GAAP and accounting standards issued by FASAB in the format prescribed by OMB A-136, </w:t>
      </w:r>
      <w:r w:rsidRPr="00F82A7A">
        <w:rPr>
          <w:rFonts w:ascii="Cambria" w:hAnsi="Cambria"/>
          <w:i/>
          <w:iCs/>
        </w:rPr>
        <w:t>Financial Reporting Requirements</w:t>
      </w:r>
      <w:r w:rsidRPr="00F82A7A">
        <w:rPr>
          <w:rFonts w:ascii="Cambria" w:hAnsi="Cambria"/>
        </w:rPr>
        <w:t xml:space="preserve">, as amended. FASAB is recognized by the AICPA as the </w:t>
      </w:r>
      <w:r w:rsidR="00125A93">
        <w:rPr>
          <w:rFonts w:ascii="Cambria" w:hAnsi="Cambria"/>
        </w:rPr>
        <w:t>authoritative</w:t>
      </w:r>
      <w:r w:rsidR="00125A93" w:rsidRPr="00F82A7A">
        <w:rPr>
          <w:rFonts w:ascii="Cambria" w:hAnsi="Cambria"/>
        </w:rPr>
        <w:t xml:space="preserve"> </w:t>
      </w:r>
      <w:r w:rsidRPr="00F82A7A">
        <w:rPr>
          <w:rFonts w:ascii="Cambria" w:hAnsi="Cambria"/>
        </w:rPr>
        <w:t>accounting standards-setting body for U.S. Government entities. These statements, apart from the Statement of Budgetary Resources, are different from financial management reports, which are also prepared pursuant to OMB directives that are used to monitor and control PCLOB’s use of budgetary resources. Unless specified otherwise, all amounts are presented in dollars.</w:t>
      </w:r>
    </w:p>
    <w:p w14:paraId="1747CA4B" w14:textId="77777777" w:rsidR="00C60087" w:rsidRPr="00F82A7A" w:rsidRDefault="00C60087" w:rsidP="00C60087">
      <w:pPr>
        <w:pStyle w:val="BodyText3"/>
        <w:spacing w:before="240" w:line="276" w:lineRule="auto"/>
        <w:rPr>
          <w:rFonts w:ascii="Cambria" w:hAnsi="Cambria"/>
          <w:bCs/>
        </w:rPr>
      </w:pPr>
      <w:r w:rsidRPr="00F82A7A">
        <w:rPr>
          <w:rFonts w:ascii="Cambria" w:hAnsi="Cambria"/>
          <w:bCs/>
        </w:rPr>
        <w:t xml:space="preserve">The financial statements represent intragovernmental and </w:t>
      </w:r>
      <w:r>
        <w:rPr>
          <w:rFonts w:ascii="Cambria" w:hAnsi="Cambria"/>
          <w:bCs/>
        </w:rPr>
        <w:t xml:space="preserve">other than intragovernmental (or </w:t>
      </w:r>
      <w:r w:rsidRPr="00F82A7A">
        <w:rPr>
          <w:rFonts w:ascii="Cambria" w:hAnsi="Cambria"/>
          <w:bCs/>
        </w:rPr>
        <w:t>public</w:t>
      </w:r>
      <w:r>
        <w:rPr>
          <w:rFonts w:ascii="Cambria" w:hAnsi="Cambria"/>
          <w:bCs/>
        </w:rPr>
        <w:t>)</w:t>
      </w:r>
      <w:r w:rsidRPr="00F82A7A">
        <w:rPr>
          <w:rFonts w:ascii="Cambria" w:hAnsi="Cambria"/>
          <w:bCs/>
        </w:rPr>
        <w:t xml:space="preserve"> activities. The intragovernmental balances, revenues, and costs reflect financial transactions between PCLOB and other federal agencies, while </w:t>
      </w:r>
      <w:r>
        <w:rPr>
          <w:rFonts w:ascii="Cambria" w:hAnsi="Cambria"/>
          <w:bCs/>
        </w:rPr>
        <w:t>other than intragovernmental</w:t>
      </w:r>
      <w:r w:rsidRPr="00F82A7A">
        <w:rPr>
          <w:rFonts w:ascii="Cambria" w:hAnsi="Cambria"/>
          <w:bCs/>
        </w:rPr>
        <w:t xml:space="preserve"> activities are those with non-governmental customers, including employees, contractors, and vendors. PCLOB’s financial statements reflect agency-only financial activities and do not require consolidation. </w:t>
      </w:r>
    </w:p>
    <w:p w14:paraId="38284D2E" w14:textId="2CD92591" w:rsidR="00C60087" w:rsidRPr="00F82A7A" w:rsidRDefault="00C60087" w:rsidP="00BE14D2">
      <w:pPr>
        <w:pStyle w:val="Cambriabold"/>
        <w:keepNext/>
        <w:keepLines/>
        <w:spacing w:line="276" w:lineRule="auto"/>
        <w:rPr>
          <w:i/>
        </w:rPr>
      </w:pPr>
      <w:r w:rsidRPr="00F82A7A">
        <w:lastRenderedPageBreak/>
        <w:t>C. Accounting Policies</w:t>
      </w:r>
    </w:p>
    <w:p w14:paraId="7D259E72" w14:textId="77777777" w:rsidR="00C60087" w:rsidRPr="00F82A7A" w:rsidRDefault="00C60087" w:rsidP="00BE14D2">
      <w:pPr>
        <w:pStyle w:val="Cambriabold"/>
        <w:keepNext/>
        <w:keepLines/>
        <w:spacing w:line="276" w:lineRule="auto"/>
        <w:rPr>
          <w:rFonts w:eastAsia="Times New Roman"/>
          <w:b w:val="0"/>
          <w:bCs w:val="0"/>
        </w:rPr>
      </w:pPr>
      <w:r w:rsidRPr="00F82A7A">
        <w:rPr>
          <w:rFonts w:eastAsia="Times New Roman"/>
          <w:b w:val="0"/>
          <w:bCs w:val="0"/>
        </w:rPr>
        <w:t xml:space="preserve">Accounting principles encompass both accrual and budgetary transactions. Under the accrual method, revenues are recognized when earned and expenses are recognized when a liability is incurred, without regard to receipt or payment of cash. </w:t>
      </w:r>
      <w:proofErr w:type="gramStart"/>
      <w:r w:rsidRPr="00F82A7A">
        <w:rPr>
          <w:rFonts w:eastAsia="Times New Roman"/>
          <w:b w:val="0"/>
          <w:bCs w:val="0"/>
        </w:rPr>
        <w:t>Under</w:t>
      </w:r>
      <w:proofErr w:type="gramEnd"/>
      <w:r w:rsidRPr="00F82A7A">
        <w:rPr>
          <w:rFonts w:eastAsia="Times New Roman"/>
          <w:b w:val="0"/>
          <w:bCs w:val="0"/>
        </w:rPr>
        <w:t xml:space="preserve"> </w:t>
      </w:r>
      <w:proofErr w:type="gramStart"/>
      <w:r w:rsidRPr="00F82A7A">
        <w:rPr>
          <w:rFonts w:eastAsia="Times New Roman"/>
          <w:b w:val="0"/>
          <w:bCs w:val="0"/>
        </w:rPr>
        <w:t>the</w:t>
      </w:r>
      <w:proofErr w:type="gramEnd"/>
      <w:r w:rsidRPr="00F82A7A">
        <w:rPr>
          <w:rFonts w:eastAsia="Times New Roman"/>
          <w:b w:val="0"/>
          <w:bCs w:val="0"/>
        </w:rPr>
        <w:t xml:space="preserve"> budgetary basis, fund availability is recorded based upon legal considerations and constraints. The agency receives financing sources through direct appropriations from the general fund of the Treasury to support its operations. “Appropriations Used” recognizes that appropriation authority has been applied against received goods and services. </w:t>
      </w:r>
    </w:p>
    <w:p w14:paraId="273C7938" w14:textId="32A86BFD" w:rsidR="00C60087" w:rsidRPr="00F82A7A" w:rsidRDefault="00C60087" w:rsidP="00C60087">
      <w:pPr>
        <w:pStyle w:val="Cambriabold"/>
        <w:spacing w:line="276" w:lineRule="auto"/>
        <w:rPr>
          <w:i/>
        </w:rPr>
      </w:pPr>
      <w:r w:rsidRPr="00F82A7A">
        <w:t>D. Use of Estimates</w:t>
      </w:r>
    </w:p>
    <w:p w14:paraId="56033248" w14:textId="460F0488" w:rsidR="00C60087" w:rsidRPr="00F82A7A" w:rsidRDefault="00C60087" w:rsidP="00C60087">
      <w:pPr>
        <w:autoSpaceDE w:val="0"/>
        <w:autoSpaceDN w:val="0"/>
        <w:adjustRightInd w:val="0"/>
        <w:spacing w:line="276" w:lineRule="auto"/>
        <w:jc w:val="both"/>
        <w:rPr>
          <w:rFonts w:ascii="Cambria" w:hAnsi="Cambria"/>
          <w:iCs/>
          <w:sz w:val="24"/>
          <w:szCs w:val="24"/>
        </w:rPr>
      </w:pPr>
      <w:r w:rsidRPr="00F82A7A">
        <w:rPr>
          <w:rFonts w:ascii="Cambria" w:hAnsi="Cambria"/>
          <w:sz w:val="24"/>
          <w:szCs w:val="24"/>
        </w:rPr>
        <w:t xml:space="preserve">The preparation of financial statements in conformity with </w:t>
      </w:r>
      <w:r>
        <w:rPr>
          <w:rFonts w:ascii="Cambria" w:hAnsi="Cambria"/>
          <w:sz w:val="24"/>
          <w:szCs w:val="24"/>
        </w:rPr>
        <w:t xml:space="preserve">U.S. </w:t>
      </w:r>
      <w:r w:rsidRPr="00F82A7A">
        <w:rPr>
          <w:rFonts w:ascii="Cambria" w:hAnsi="Cambria"/>
          <w:sz w:val="24"/>
          <w:szCs w:val="24"/>
        </w:rPr>
        <w:t>GAAP requires management to make certain estimates and assumptions. These estimates and assumptions affect the reported amounts of assets, liabilities (including contingent liabilities), revenues, financing sources, expenses, and obligations incurred during the reporting period. These estimates are based on management’s best knowledge of current events, historical experience</w:t>
      </w:r>
      <w:r w:rsidR="003A30D6">
        <w:rPr>
          <w:rFonts w:ascii="Cambria" w:hAnsi="Cambria"/>
          <w:sz w:val="24"/>
          <w:szCs w:val="24"/>
        </w:rPr>
        <w:t>,</w:t>
      </w:r>
      <w:r w:rsidRPr="00F82A7A">
        <w:rPr>
          <w:rFonts w:ascii="Cambria" w:hAnsi="Cambria"/>
          <w:sz w:val="24"/>
          <w:szCs w:val="24"/>
        </w:rPr>
        <w:t xml:space="preserve"> and other assumptions that are believed to be reasonable under the circumstances. Estimates are subject to a wide range of variables, including assumptions on future economic and financial events. Accordingly, actual results may differ from those estimates.</w:t>
      </w:r>
    </w:p>
    <w:p w14:paraId="53ACE54C" w14:textId="6EB62A99" w:rsidR="00C60087" w:rsidRPr="006B71BB" w:rsidRDefault="00C60087" w:rsidP="00C60087">
      <w:pPr>
        <w:pStyle w:val="Cambriabold"/>
        <w:spacing w:line="276" w:lineRule="auto"/>
        <w:rPr>
          <w:i/>
        </w:rPr>
      </w:pPr>
      <w:r w:rsidRPr="00F82A7A">
        <w:t xml:space="preserve">E. </w:t>
      </w:r>
      <w:r w:rsidRPr="006B71BB">
        <w:t xml:space="preserve">Budgetary </w:t>
      </w:r>
      <w:r>
        <w:t>Terms</w:t>
      </w:r>
    </w:p>
    <w:p w14:paraId="2AE57917" w14:textId="77777777" w:rsidR="00C60087" w:rsidRPr="006B71BB" w:rsidRDefault="00C60087" w:rsidP="00E41BA2">
      <w:pPr>
        <w:pStyle w:val="Cambriabold"/>
        <w:spacing w:line="276" w:lineRule="auto"/>
        <w:rPr>
          <w:b w:val="0"/>
          <w:bCs w:val="0"/>
        </w:rPr>
      </w:pPr>
      <w:r w:rsidRPr="006B71BB">
        <w:rPr>
          <w:b w:val="0"/>
          <w:bCs w:val="0"/>
        </w:rPr>
        <w:t xml:space="preserve">PCLOB follows standard federal budgetary accounting policies and practices in accordance with OMB Circular A-11, </w:t>
      </w:r>
      <w:r w:rsidRPr="006B71BB">
        <w:rPr>
          <w:b w:val="0"/>
          <w:bCs w:val="0"/>
          <w:i/>
          <w:iCs/>
        </w:rPr>
        <w:t>Preparation, Submission, and Execution of the Budget</w:t>
      </w:r>
      <w:r>
        <w:rPr>
          <w:b w:val="0"/>
          <w:bCs w:val="0"/>
          <w:i/>
          <w:iCs/>
        </w:rPr>
        <w:t xml:space="preserve">, </w:t>
      </w:r>
      <w:r w:rsidRPr="00337CB2">
        <w:rPr>
          <w:b w:val="0"/>
          <w:bCs w:val="0"/>
        </w:rPr>
        <w:t>as amended,</w:t>
      </w:r>
      <w:r w:rsidRPr="00AC5F31">
        <w:rPr>
          <w:b w:val="0"/>
          <w:bCs w:val="0"/>
          <w:i/>
          <w:iCs/>
        </w:rPr>
        <w:t xml:space="preserve"> </w:t>
      </w:r>
      <w:r w:rsidRPr="00337CB2">
        <w:rPr>
          <w:b w:val="0"/>
          <w:bCs w:val="0"/>
        </w:rPr>
        <w:t>which provides instructions on budget execution.</w:t>
      </w:r>
      <w:r>
        <w:rPr>
          <w:b w:val="0"/>
          <w:bCs w:val="0"/>
        </w:rPr>
        <w:t xml:space="preserve"> </w:t>
      </w:r>
      <w:r w:rsidRPr="006B71BB">
        <w:rPr>
          <w:b w:val="0"/>
          <w:bCs w:val="0"/>
        </w:rPr>
        <w:t>The purpose of federal budgetary accounting is to control, monitor, and report on funds made available to federal agencies by law and help ensure compliance with the law.</w:t>
      </w:r>
    </w:p>
    <w:p w14:paraId="40633116" w14:textId="77777777" w:rsidR="00C60087" w:rsidRPr="006B71BB" w:rsidRDefault="00C60087" w:rsidP="00E41BA2">
      <w:pPr>
        <w:pStyle w:val="Cambriabold"/>
        <w:spacing w:line="276" w:lineRule="auto"/>
        <w:rPr>
          <w:b w:val="0"/>
          <w:bCs w:val="0"/>
        </w:rPr>
      </w:pPr>
      <w:r w:rsidRPr="006B71BB">
        <w:rPr>
          <w:b w:val="0"/>
          <w:bCs w:val="0"/>
        </w:rPr>
        <w:t>The following budget terms are commonly used:</w:t>
      </w:r>
    </w:p>
    <w:p w14:paraId="385EE8A4" w14:textId="482ADC94" w:rsidR="00C60087" w:rsidRPr="002455D5" w:rsidRDefault="00C60087" w:rsidP="00E41BA2">
      <w:pPr>
        <w:pStyle w:val="Cambriabold"/>
        <w:numPr>
          <w:ilvl w:val="0"/>
          <w:numId w:val="22"/>
        </w:numPr>
        <w:spacing w:line="276" w:lineRule="auto"/>
        <w:rPr>
          <w:b w:val="0"/>
          <w:bCs w:val="0"/>
        </w:rPr>
      </w:pPr>
      <w:r w:rsidRPr="00502B1A">
        <w:rPr>
          <w:b w:val="0"/>
          <w:bCs w:val="0"/>
          <w:u w:val="single"/>
        </w:rPr>
        <w:t>Appropriation</w:t>
      </w:r>
      <w:r w:rsidRPr="006B71BB">
        <w:rPr>
          <w:b w:val="0"/>
          <w:bCs w:val="0"/>
        </w:rPr>
        <w:t xml:space="preserve"> </w:t>
      </w:r>
      <w:r w:rsidR="00B82E76">
        <w:rPr>
          <w:b w:val="0"/>
          <w:bCs w:val="0"/>
        </w:rPr>
        <w:t>—</w:t>
      </w:r>
      <w:r w:rsidR="00B82E76" w:rsidRPr="006B71BB">
        <w:rPr>
          <w:b w:val="0"/>
          <w:bCs w:val="0"/>
        </w:rPr>
        <w:t xml:space="preserve"> </w:t>
      </w:r>
      <w:r w:rsidRPr="006B71BB">
        <w:rPr>
          <w:b w:val="0"/>
          <w:bCs w:val="0"/>
        </w:rPr>
        <w:t xml:space="preserve">A provision of law (not necessarily in an appropriations act) authorizing the expenditure of funds for a given purpose. </w:t>
      </w:r>
      <w:r w:rsidRPr="002F6852">
        <w:rPr>
          <w:b w:val="0"/>
          <w:bCs w:val="0"/>
        </w:rPr>
        <w:t>Usually, but not always, an appropriation provides budget authority.</w:t>
      </w:r>
    </w:p>
    <w:p w14:paraId="2C0FB8A4" w14:textId="2F5CF94D" w:rsidR="00C60087" w:rsidRPr="002455D5" w:rsidRDefault="00C60087" w:rsidP="00E41BA2">
      <w:pPr>
        <w:pStyle w:val="Cambriabold"/>
        <w:numPr>
          <w:ilvl w:val="0"/>
          <w:numId w:val="22"/>
        </w:numPr>
        <w:spacing w:line="276" w:lineRule="auto"/>
        <w:rPr>
          <w:b w:val="0"/>
          <w:bCs w:val="0"/>
        </w:rPr>
      </w:pPr>
      <w:r w:rsidRPr="00502B1A">
        <w:rPr>
          <w:b w:val="0"/>
          <w:bCs w:val="0"/>
          <w:u w:val="single"/>
        </w:rPr>
        <w:t>Budgetary Resources</w:t>
      </w:r>
      <w:r w:rsidRPr="002455D5">
        <w:rPr>
          <w:b w:val="0"/>
          <w:bCs w:val="0"/>
        </w:rPr>
        <w:t xml:space="preserve"> </w:t>
      </w:r>
      <w:r w:rsidR="00F73E85">
        <w:rPr>
          <w:b w:val="0"/>
          <w:bCs w:val="0"/>
        </w:rPr>
        <w:t>—</w:t>
      </w:r>
      <w:r w:rsidR="00F73E85" w:rsidRPr="002455D5">
        <w:rPr>
          <w:b w:val="0"/>
          <w:bCs w:val="0"/>
        </w:rPr>
        <w:t xml:space="preserve"> </w:t>
      </w:r>
      <w:r w:rsidRPr="002455D5">
        <w:rPr>
          <w:b w:val="0"/>
          <w:bCs w:val="0"/>
        </w:rPr>
        <w:t xml:space="preserve">Amounts available to incur obligations </w:t>
      </w:r>
      <w:proofErr w:type="gramStart"/>
      <w:r w:rsidRPr="002455D5">
        <w:rPr>
          <w:b w:val="0"/>
          <w:bCs w:val="0"/>
        </w:rPr>
        <w:t>in a given year</w:t>
      </w:r>
      <w:proofErr w:type="gramEnd"/>
      <w:r w:rsidRPr="002455D5">
        <w:rPr>
          <w:b w:val="0"/>
          <w:bCs w:val="0"/>
        </w:rPr>
        <w:t>. The term comprises new budget authority and unobligated balances of budget authority provided in previous years.</w:t>
      </w:r>
    </w:p>
    <w:p w14:paraId="722B35FB" w14:textId="7726D752" w:rsidR="00C60087" w:rsidRPr="002455D5" w:rsidRDefault="00C60087" w:rsidP="00E41BA2">
      <w:pPr>
        <w:pStyle w:val="Cambriabold"/>
        <w:keepNext/>
        <w:keepLines/>
        <w:numPr>
          <w:ilvl w:val="0"/>
          <w:numId w:val="22"/>
        </w:numPr>
        <w:spacing w:line="276" w:lineRule="auto"/>
        <w:rPr>
          <w:b w:val="0"/>
          <w:bCs w:val="0"/>
        </w:rPr>
      </w:pPr>
      <w:r w:rsidRPr="00502B1A">
        <w:rPr>
          <w:b w:val="0"/>
          <w:bCs w:val="0"/>
          <w:u w:val="single"/>
        </w:rPr>
        <w:lastRenderedPageBreak/>
        <w:t>Obligation</w:t>
      </w:r>
      <w:r w:rsidRPr="002455D5">
        <w:rPr>
          <w:b w:val="0"/>
          <w:bCs w:val="0"/>
        </w:rPr>
        <w:t xml:space="preserve"> </w:t>
      </w:r>
      <w:r w:rsidR="00F73E85">
        <w:rPr>
          <w:b w:val="0"/>
          <w:bCs w:val="0"/>
        </w:rPr>
        <w:t>—</w:t>
      </w:r>
      <w:r w:rsidR="00F73E85" w:rsidRPr="002455D5">
        <w:rPr>
          <w:b w:val="0"/>
          <w:bCs w:val="0"/>
        </w:rPr>
        <w:t xml:space="preserve"> </w:t>
      </w:r>
      <w:r w:rsidRPr="002455D5">
        <w:rPr>
          <w:b w:val="0"/>
          <w:bCs w:val="0"/>
        </w:rPr>
        <w:t>A binding agreement that will result in outlays, immediately or in the future. Budgetary resources must be available before obligations can be legally incurred.</w:t>
      </w:r>
    </w:p>
    <w:p w14:paraId="7EC2C62E" w14:textId="281F5841" w:rsidR="00C60087" w:rsidRPr="00F82264" w:rsidRDefault="00C60087" w:rsidP="00E41BA2">
      <w:pPr>
        <w:pStyle w:val="Cambriabold"/>
        <w:keepNext/>
        <w:keepLines/>
        <w:numPr>
          <w:ilvl w:val="0"/>
          <w:numId w:val="22"/>
        </w:numPr>
        <w:spacing w:line="276" w:lineRule="auto"/>
        <w:rPr>
          <w:b w:val="0"/>
          <w:bCs w:val="0"/>
        </w:rPr>
      </w:pPr>
      <w:r w:rsidRPr="00502B1A">
        <w:rPr>
          <w:b w:val="0"/>
          <w:bCs w:val="0"/>
          <w:u w:val="single"/>
        </w:rPr>
        <w:t>Unobligated Balance</w:t>
      </w:r>
      <w:r w:rsidRPr="00F82264">
        <w:rPr>
          <w:b w:val="0"/>
          <w:bCs w:val="0"/>
        </w:rPr>
        <w:t xml:space="preserve"> </w:t>
      </w:r>
      <w:r w:rsidR="00F73E85">
        <w:rPr>
          <w:b w:val="0"/>
          <w:bCs w:val="0"/>
        </w:rPr>
        <w:t>—</w:t>
      </w:r>
      <w:r w:rsidR="00F73E85" w:rsidRPr="00F82264">
        <w:rPr>
          <w:b w:val="0"/>
          <w:bCs w:val="0"/>
        </w:rPr>
        <w:t xml:space="preserve"> </w:t>
      </w:r>
      <w:r w:rsidRPr="00F82264">
        <w:rPr>
          <w:b w:val="0"/>
          <w:bCs w:val="0"/>
        </w:rPr>
        <w:t xml:space="preserve">The cumulative amount of budget authority that remains available for obligation under law in unexpired accounts. The term </w:t>
      </w:r>
      <w:r w:rsidR="000062AC">
        <w:rPr>
          <w:b w:val="0"/>
          <w:bCs w:val="0"/>
        </w:rPr>
        <w:t>“</w:t>
      </w:r>
      <w:r w:rsidRPr="00F82264">
        <w:rPr>
          <w:b w:val="0"/>
          <w:bCs w:val="0"/>
        </w:rPr>
        <w:t>expired balances available for adjustment only</w:t>
      </w:r>
      <w:r w:rsidR="000062AC">
        <w:rPr>
          <w:b w:val="0"/>
          <w:bCs w:val="0"/>
        </w:rPr>
        <w:t>”</w:t>
      </w:r>
      <w:r w:rsidRPr="00F82264">
        <w:rPr>
          <w:b w:val="0"/>
          <w:bCs w:val="0"/>
        </w:rPr>
        <w:t xml:space="preserve"> refers to unobligated amounts in expired accounts.</w:t>
      </w:r>
    </w:p>
    <w:p w14:paraId="1139D76A" w14:textId="55898C01" w:rsidR="00C60087" w:rsidRPr="002455D5" w:rsidRDefault="00C60087" w:rsidP="00E41BA2">
      <w:pPr>
        <w:pStyle w:val="Cambriabold"/>
        <w:numPr>
          <w:ilvl w:val="0"/>
          <w:numId w:val="22"/>
        </w:numPr>
        <w:spacing w:line="276" w:lineRule="auto"/>
        <w:rPr>
          <w:b w:val="0"/>
          <w:bCs w:val="0"/>
        </w:rPr>
      </w:pPr>
      <w:r w:rsidRPr="00502B1A">
        <w:rPr>
          <w:b w:val="0"/>
          <w:bCs w:val="0"/>
          <w:u w:val="single"/>
        </w:rPr>
        <w:t>Net Outlays</w:t>
      </w:r>
      <w:r w:rsidRPr="002455D5">
        <w:rPr>
          <w:b w:val="0"/>
          <w:bCs w:val="0"/>
        </w:rPr>
        <w:t xml:space="preserve"> </w:t>
      </w:r>
      <w:r w:rsidR="00F73E85">
        <w:rPr>
          <w:b w:val="0"/>
          <w:bCs w:val="0"/>
        </w:rPr>
        <w:t>—</w:t>
      </w:r>
      <w:r w:rsidR="00F73E85" w:rsidRPr="002455D5">
        <w:rPr>
          <w:b w:val="0"/>
          <w:bCs w:val="0"/>
        </w:rPr>
        <w:t xml:space="preserve"> </w:t>
      </w:r>
      <w:r>
        <w:rPr>
          <w:b w:val="0"/>
          <w:bCs w:val="0"/>
        </w:rPr>
        <w:t>Outlays are p</w:t>
      </w:r>
      <w:r w:rsidRPr="002455D5">
        <w:rPr>
          <w:b w:val="0"/>
          <w:bCs w:val="0"/>
        </w:rPr>
        <w:t xml:space="preserve">ayments to liquidate obligations (other than the repayment of debt principal or other disbursements that are </w:t>
      </w:r>
      <w:r w:rsidR="000062AC">
        <w:rPr>
          <w:b w:val="0"/>
          <w:bCs w:val="0"/>
        </w:rPr>
        <w:t>“</w:t>
      </w:r>
      <w:r w:rsidRPr="002455D5">
        <w:rPr>
          <w:b w:val="0"/>
          <w:bCs w:val="0"/>
        </w:rPr>
        <w:t>means of financing</w:t>
      </w:r>
      <w:r w:rsidR="000062AC">
        <w:rPr>
          <w:b w:val="0"/>
          <w:bCs w:val="0"/>
        </w:rPr>
        <w:t>”</w:t>
      </w:r>
      <w:r w:rsidRPr="002455D5">
        <w:rPr>
          <w:b w:val="0"/>
          <w:bCs w:val="0"/>
        </w:rPr>
        <w:t xml:space="preserve"> transactions). Outlays generally are equal to cash disbursements but also are recorded for cash-equivalent transactions, such as the issuance of debentures to pay insurance claims, and</w:t>
      </w:r>
      <w:r w:rsidR="003500BC">
        <w:rPr>
          <w:b w:val="0"/>
          <w:bCs w:val="0"/>
        </w:rPr>
        <w:t>,</w:t>
      </w:r>
      <w:r w:rsidRPr="002455D5">
        <w:rPr>
          <w:b w:val="0"/>
          <w:bCs w:val="0"/>
        </w:rPr>
        <w:t xml:space="preserve"> in a few cases, are recorded on an accrual basis such as interest on public issues of the public debt. Outlays are a primary measure of government spending.</w:t>
      </w:r>
      <w:r>
        <w:rPr>
          <w:b w:val="0"/>
          <w:bCs w:val="0"/>
        </w:rPr>
        <w:t xml:space="preserve"> Net outlays represent gross outlays less actual offsetting collections.</w:t>
      </w:r>
    </w:p>
    <w:p w14:paraId="7309A4FE" w14:textId="08A3CBFC" w:rsidR="00C60087" w:rsidRDefault="00C60087" w:rsidP="00E41BA2">
      <w:pPr>
        <w:pStyle w:val="Cambriabold"/>
        <w:numPr>
          <w:ilvl w:val="0"/>
          <w:numId w:val="22"/>
        </w:numPr>
        <w:spacing w:line="276" w:lineRule="auto"/>
        <w:rPr>
          <w:b w:val="0"/>
          <w:bCs w:val="0"/>
        </w:rPr>
      </w:pPr>
      <w:r w:rsidRPr="00502B1A">
        <w:rPr>
          <w:b w:val="0"/>
          <w:bCs w:val="0"/>
          <w:u w:val="single"/>
        </w:rPr>
        <w:t>Offsetting Collections</w:t>
      </w:r>
      <w:r w:rsidRPr="00AC5F31">
        <w:rPr>
          <w:b w:val="0"/>
          <w:bCs w:val="0"/>
        </w:rPr>
        <w:t xml:space="preserve"> </w:t>
      </w:r>
      <w:r w:rsidR="00F73E85">
        <w:rPr>
          <w:b w:val="0"/>
          <w:bCs w:val="0"/>
        </w:rPr>
        <w:t xml:space="preserve">— </w:t>
      </w:r>
      <w:r w:rsidRPr="00AC5F31">
        <w:rPr>
          <w:b w:val="0"/>
          <w:bCs w:val="0"/>
        </w:rPr>
        <w:t>Usually, offsetting collections are authorized to be spent for the purposes of the account without further action by Congress. They usually result from business-like transactions with the public, including payments from the public in exchange for goods and services, reimbursements for damages, and gifts or donations of money to the Government and from intragovernmental transactions with other Government accounts. The authority to spend offsetting collections is a form of budget authority.</w:t>
      </w:r>
    </w:p>
    <w:p w14:paraId="540B99E9" w14:textId="0ED53F8B" w:rsidR="00C60087" w:rsidRPr="00F82264" w:rsidRDefault="00C60087" w:rsidP="00E41BA2">
      <w:pPr>
        <w:pStyle w:val="Cambriabold"/>
        <w:numPr>
          <w:ilvl w:val="0"/>
          <w:numId w:val="22"/>
        </w:numPr>
        <w:spacing w:line="276" w:lineRule="auto"/>
        <w:rPr>
          <w:b w:val="0"/>
          <w:bCs w:val="0"/>
        </w:rPr>
      </w:pPr>
      <w:r w:rsidRPr="00502B1A">
        <w:rPr>
          <w:b w:val="0"/>
          <w:bCs w:val="0"/>
          <w:u w:val="single"/>
        </w:rPr>
        <w:t>Spending Authority from Offsetting Collections</w:t>
      </w:r>
      <w:r w:rsidRPr="00F82264">
        <w:rPr>
          <w:b w:val="0"/>
          <w:bCs w:val="0"/>
        </w:rPr>
        <w:t xml:space="preserve"> </w:t>
      </w:r>
      <w:r w:rsidR="00F73E85">
        <w:rPr>
          <w:b w:val="0"/>
          <w:bCs w:val="0"/>
        </w:rPr>
        <w:t>—</w:t>
      </w:r>
      <w:r w:rsidR="00F73E85" w:rsidRPr="00F82264">
        <w:rPr>
          <w:b w:val="0"/>
          <w:bCs w:val="0"/>
        </w:rPr>
        <w:t xml:space="preserve"> </w:t>
      </w:r>
      <w:r w:rsidRPr="00F82264">
        <w:rPr>
          <w:b w:val="0"/>
          <w:bCs w:val="0"/>
        </w:rPr>
        <w:t>A type of budget authority that permits obligations and outlays to be financed by offsetting collections.</w:t>
      </w:r>
    </w:p>
    <w:p w14:paraId="5C1C6060" w14:textId="553A91AD" w:rsidR="00C60087" w:rsidRPr="007707AC" w:rsidRDefault="00C60087" w:rsidP="00E41BA2">
      <w:pPr>
        <w:pStyle w:val="Cambriabold"/>
        <w:spacing w:line="276" w:lineRule="auto"/>
        <w:rPr>
          <w:b w:val="0"/>
          <w:bCs w:val="0"/>
        </w:rPr>
      </w:pPr>
      <w:r w:rsidRPr="007707AC">
        <w:rPr>
          <w:b w:val="0"/>
          <w:bCs w:val="0"/>
        </w:rPr>
        <w:t xml:space="preserve">Congress passes </w:t>
      </w:r>
      <w:r w:rsidR="00E27FCF">
        <w:rPr>
          <w:b w:val="0"/>
          <w:bCs w:val="0"/>
        </w:rPr>
        <w:t xml:space="preserve">time-related </w:t>
      </w:r>
      <w:r w:rsidRPr="007707AC">
        <w:rPr>
          <w:b w:val="0"/>
          <w:bCs w:val="0"/>
        </w:rPr>
        <w:t xml:space="preserve">appropriations that provide </w:t>
      </w:r>
      <w:r w:rsidR="00E27FCF">
        <w:rPr>
          <w:b w:val="0"/>
          <w:bCs w:val="0"/>
        </w:rPr>
        <w:t xml:space="preserve">agencies </w:t>
      </w:r>
      <w:r w:rsidRPr="007707AC">
        <w:rPr>
          <w:b w:val="0"/>
          <w:bCs w:val="0"/>
        </w:rPr>
        <w:t>with authority to obligate fund</w:t>
      </w:r>
      <w:r w:rsidR="008F7305">
        <w:rPr>
          <w:b w:val="0"/>
          <w:bCs w:val="0"/>
        </w:rPr>
        <w:t>s</w:t>
      </w:r>
      <w:r w:rsidRPr="007707AC">
        <w:rPr>
          <w:b w:val="0"/>
          <w:bCs w:val="0"/>
        </w:rPr>
        <w:t xml:space="preserve"> for necessary expenses to carry out operations. </w:t>
      </w:r>
      <w:r w:rsidR="00E27FCF">
        <w:rPr>
          <w:b w:val="0"/>
          <w:bCs w:val="0"/>
        </w:rPr>
        <w:t>For annual appropriations, a</w:t>
      </w:r>
      <w:r w:rsidRPr="007707AC">
        <w:rPr>
          <w:b w:val="0"/>
          <w:bCs w:val="0"/>
        </w:rPr>
        <w:t>fter the right to create new obligations has expired, this budget authority is available for five additional years for adjusting obligations and for completing the liquidation of open obligations, advances, and receivables. After the five-year period, all open transactions for the respective fiscal year will be canceled and funds will be returned to Treasury. Any valid claims associated with these funds after closure must be processed against current</w:t>
      </w:r>
      <w:r w:rsidR="00F73E85">
        <w:rPr>
          <w:b w:val="0"/>
          <w:bCs w:val="0"/>
        </w:rPr>
        <w:t>-</w:t>
      </w:r>
      <w:r w:rsidRPr="007707AC">
        <w:rPr>
          <w:b w:val="0"/>
          <w:bCs w:val="0"/>
        </w:rPr>
        <w:t>year appropriations. PCLOB currently operates with funds obligated over a two-year period.</w:t>
      </w:r>
    </w:p>
    <w:p w14:paraId="47AA2FD2" w14:textId="4CAE40A1" w:rsidR="00C60087" w:rsidRPr="00F82A7A" w:rsidRDefault="00C60087" w:rsidP="00C60087">
      <w:pPr>
        <w:pStyle w:val="Cambriabold"/>
        <w:keepNext/>
        <w:keepLines/>
        <w:spacing w:line="276" w:lineRule="auto"/>
        <w:rPr>
          <w:i/>
        </w:rPr>
      </w:pPr>
      <w:r w:rsidRPr="00F82A7A">
        <w:lastRenderedPageBreak/>
        <w:t>F. Revenues and Other Financing Sources</w:t>
      </w:r>
    </w:p>
    <w:p w14:paraId="66F9692C" w14:textId="77777777" w:rsidR="00C60087" w:rsidRPr="00F82A7A" w:rsidRDefault="00C60087" w:rsidP="00C60087">
      <w:pPr>
        <w:keepNext/>
        <w:keepLines/>
        <w:autoSpaceDE w:val="0"/>
        <w:autoSpaceDN w:val="0"/>
        <w:adjustRightInd w:val="0"/>
        <w:spacing w:line="276" w:lineRule="auto"/>
        <w:jc w:val="both"/>
        <w:rPr>
          <w:rFonts w:ascii="Cambria" w:hAnsi="Cambria"/>
          <w:sz w:val="24"/>
          <w:szCs w:val="24"/>
        </w:rPr>
      </w:pPr>
      <w:r w:rsidRPr="00F82A7A">
        <w:rPr>
          <w:rFonts w:ascii="Cambria" w:hAnsi="Cambria"/>
          <w:sz w:val="24"/>
          <w:szCs w:val="24"/>
        </w:rPr>
        <w:t>PCLOB receives the funding needed to support its operating costs and program expenses through annual appropriations which are</w:t>
      </w:r>
      <w:r w:rsidRPr="00F82A7A" w:rsidDel="005C78BE">
        <w:rPr>
          <w:rFonts w:ascii="Cambria" w:hAnsi="Cambria"/>
          <w:sz w:val="24"/>
          <w:szCs w:val="24"/>
        </w:rPr>
        <w:t xml:space="preserve"> </w:t>
      </w:r>
      <w:r w:rsidRPr="00F82A7A">
        <w:rPr>
          <w:rFonts w:ascii="Cambria" w:hAnsi="Cambria"/>
          <w:sz w:val="24"/>
          <w:szCs w:val="24"/>
        </w:rPr>
        <w:t>used exclusively for operational costs of the agency, such as personnel costs, office rent, telephones, and service agreements with other federal agencies for administrative support, publications, and supplies. For financial statement purposes, appropriations are recorded as a financing source and reported on the Statement of Changes in Net Position at the time they are recognized as expenditures.</w:t>
      </w:r>
    </w:p>
    <w:p w14:paraId="0944ADAE" w14:textId="742FDC49" w:rsidR="00C60087" w:rsidRPr="00F82A7A" w:rsidRDefault="00C60087" w:rsidP="00C60087">
      <w:pPr>
        <w:autoSpaceDE w:val="0"/>
        <w:autoSpaceDN w:val="0"/>
        <w:adjustRightInd w:val="0"/>
        <w:spacing w:line="276" w:lineRule="auto"/>
        <w:jc w:val="both"/>
        <w:rPr>
          <w:rFonts w:ascii="Cambria" w:hAnsi="Cambria"/>
          <w:sz w:val="24"/>
          <w:szCs w:val="24"/>
        </w:rPr>
      </w:pPr>
      <w:r w:rsidRPr="00F82A7A">
        <w:rPr>
          <w:rFonts w:ascii="Cambria" w:hAnsi="Cambria"/>
          <w:sz w:val="24"/>
          <w:szCs w:val="24"/>
        </w:rPr>
        <w:t xml:space="preserve">Earned revenues as reported on the Statement of Net Cost represent revenue from services provided to another governmental agency through reimbursable agreements. No revenues were earned by PCLOB outside of federal sources in FY </w:t>
      </w:r>
      <w:r w:rsidR="0049075B">
        <w:rPr>
          <w:rFonts w:ascii="Cambria" w:hAnsi="Cambria"/>
          <w:sz w:val="24"/>
          <w:szCs w:val="24"/>
        </w:rPr>
        <w:t>2025</w:t>
      </w:r>
      <w:r w:rsidRPr="00F82A7A">
        <w:rPr>
          <w:rFonts w:ascii="Cambria" w:hAnsi="Cambria"/>
          <w:sz w:val="24"/>
          <w:szCs w:val="24"/>
        </w:rPr>
        <w:t>.</w:t>
      </w:r>
    </w:p>
    <w:p w14:paraId="2AC7A6E2" w14:textId="77777777" w:rsidR="00C60087" w:rsidRPr="00F82A7A" w:rsidRDefault="00C60087" w:rsidP="00C60087">
      <w:pPr>
        <w:keepNext/>
        <w:keepLines/>
        <w:spacing w:line="276" w:lineRule="auto"/>
        <w:jc w:val="both"/>
        <w:rPr>
          <w:rFonts w:ascii="Cambria" w:hAnsi="Cambria"/>
          <w:sz w:val="24"/>
          <w:szCs w:val="24"/>
        </w:rPr>
      </w:pPr>
      <w:r w:rsidRPr="00F82A7A">
        <w:rPr>
          <w:rFonts w:ascii="Cambria" w:hAnsi="Cambria"/>
          <w:sz w:val="24"/>
          <w:szCs w:val="24"/>
        </w:rPr>
        <w:t xml:space="preserve">In certain instances, operating costs of PCLOB are paid out of funds appropriated to other federal agencies. In accordance with </w:t>
      </w:r>
      <w:r w:rsidRPr="00F82A7A">
        <w:rPr>
          <w:rFonts w:ascii="Cambria" w:hAnsi="Cambria"/>
          <w:bCs/>
          <w:sz w:val="24"/>
          <w:szCs w:val="24"/>
        </w:rPr>
        <w:t xml:space="preserve">Statement of Federal Financial Accounting Standards (SFFAS) </w:t>
      </w:r>
      <w:r w:rsidRPr="00F82A7A">
        <w:rPr>
          <w:rFonts w:ascii="Cambria" w:hAnsi="Cambria"/>
          <w:sz w:val="24"/>
          <w:szCs w:val="24"/>
        </w:rPr>
        <w:t>5,</w:t>
      </w:r>
      <w:r w:rsidRPr="00F82A7A">
        <w:rPr>
          <w:rFonts w:ascii="Cambria" w:hAnsi="Cambria"/>
          <w:i/>
          <w:iCs/>
          <w:sz w:val="24"/>
          <w:szCs w:val="24"/>
        </w:rPr>
        <w:t xml:space="preserve"> Accounting for Liabilities of the Federal Government</w:t>
      </w:r>
      <w:r w:rsidRPr="00F82A7A">
        <w:rPr>
          <w:rFonts w:ascii="Cambria" w:hAnsi="Cambria"/>
          <w:sz w:val="24"/>
          <w:szCs w:val="24"/>
        </w:rPr>
        <w:t xml:space="preserve">, all expenses of a federal entity should be reported by that agency regardless of whether the agency will ultimately pay those expenses. Amounts for certain expenses of the agency, which will be paid by other federal agencies, are recorded in the Statement of Net Cost.  </w:t>
      </w:r>
    </w:p>
    <w:p w14:paraId="4859E832" w14:textId="77777777" w:rsidR="00C60087" w:rsidRPr="00F82A7A" w:rsidRDefault="00C60087" w:rsidP="00C60087">
      <w:pPr>
        <w:spacing w:line="276" w:lineRule="auto"/>
        <w:jc w:val="both"/>
        <w:rPr>
          <w:rFonts w:ascii="Cambria" w:hAnsi="Cambria"/>
          <w:sz w:val="24"/>
          <w:szCs w:val="24"/>
        </w:rPr>
      </w:pPr>
      <w:r w:rsidRPr="00F82A7A">
        <w:rPr>
          <w:rFonts w:ascii="Cambria" w:hAnsi="Cambria"/>
          <w:sz w:val="24"/>
          <w:szCs w:val="24"/>
        </w:rPr>
        <w:t xml:space="preserve">A related amount is recognized in the Statement of Changes in Net Position as an imputed financing source. PCLOB records imputed expenses and financing sources for employee retirement plan contributions, group term life insurance, and health benefit costs, which are paid by </w:t>
      </w:r>
      <w:r w:rsidRPr="002455D5">
        <w:rPr>
          <w:rFonts w:ascii="Cambria" w:hAnsi="Cambria"/>
          <w:sz w:val="24"/>
          <w:szCs w:val="24"/>
        </w:rPr>
        <w:t xml:space="preserve">the </w:t>
      </w:r>
      <w:r w:rsidRPr="00F82A7A">
        <w:rPr>
          <w:rFonts w:ascii="Cambria" w:hAnsi="Cambria"/>
          <w:sz w:val="24"/>
          <w:szCs w:val="24"/>
        </w:rPr>
        <w:t>OPM.</w:t>
      </w:r>
    </w:p>
    <w:p w14:paraId="3C2D9391" w14:textId="53F23070" w:rsidR="00C60087" w:rsidRPr="007707AC" w:rsidRDefault="00C60087" w:rsidP="00C60087">
      <w:pPr>
        <w:pStyle w:val="Cambriabold"/>
        <w:spacing w:line="276" w:lineRule="auto"/>
        <w:rPr>
          <w:i/>
        </w:rPr>
      </w:pPr>
      <w:r w:rsidRPr="00F82A7A">
        <w:t>G.</w:t>
      </w:r>
      <w:r w:rsidR="00C408AB">
        <w:t xml:space="preserve"> </w:t>
      </w:r>
      <w:r w:rsidRPr="007707AC">
        <w:t>Personnel Compensation and Benefits</w:t>
      </w:r>
    </w:p>
    <w:p w14:paraId="3B82ED81" w14:textId="77777777" w:rsidR="00C60087" w:rsidRPr="007707AC" w:rsidRDefault="00C60087" w:rsidP="00C60087">
      <w:pPr>
        <w:pStyle w:val="Cambriabold"/>
        <w:rPr>
          <w:b w:val="0"/>
          <w:bCs w:val="0"/>
        </w:rPr>
      </w:pPr>
      <w:r w:rsidRPr="007707AC">
        <w:rPr>
          <w:b w:val="0"/>
          <w:bCs w:val="0"/>
        </w:rPr>
        <w:t>Salaries and wages of employees are recognized as accrued payroll expenses and related liabilities as earned. These expenses are recognized as a funded liability when accrued.</w:t>
      </w:r>
    </w:p>
    <w:p w14:paraId="28DE40D0" w14:textId="77777777" w:rsidR="00C60087" w:rsidRPr="007707AC" w:rsidRDefault="00C60087" w:rsidP="00C60087">
      <w:pPr>
        <w:pStyle w:val="Cambriabold"/>
        <w:rPr>
          <w:b w:val="0"/>
          <w:bCs w:val="0"/>
        </w:rPr>
      </w:pPr>
      <w:r w:rsidRPr="007707AC">
        <w:rPr>
          <w:b w:val="0"/>
          <w:bCs w:val="0"/>
        </w:rPr>
        <w:t>Annual leave is accrued as it is earned by employees and is included in personnel compensation and benefit costs. Since annual leave will be paid from future appropriations when employees use the leave, an unfunded liability is recognized for earned but unused annual leave and is based upon current pay rates for employees. Sick leave and other types of leave that are not vested are expensed when used and no future liability is recognized for these amounts.</w:t>
      </w:r>
    </w:p>
    <w:p w14:paraId="716921F5" w14:textId="77777777" w:rsidR="00C60087" w:rsidRPr="007707AC" w:rsidRDefault="00C60087" w:rsidP="00C60087">
      <w:pPr>
        <w:pStyle w:val="Cambriabold"/>
        <w:rPr>
          <w:b w:val="0"/>
          <w:bCs w:val="0"/>
        </w:rPr>
      </w:pPr>
      <w:r w:rsidRPr="007707AC">
        <w:rPr>
          <w:b w:val="0"/>
          <w:bCs w:val="0"/>
        </w:rPr>
        <w:t>PCLOB’s employees participate in the Federal Employees Retirement System (FERS) retirement program which became effective on January 1, 1987. The agency and its employees both contribute to this system. Although PCLOB funds a portion of the benefits under FERS and makes the necessary payroll withholdings, it does not report assets associated with this benefit plan, in accordance with SFFAS 5.</w:t>
      </w:r>
    </w:p>
    <w:p w14:paraId="6948AF42" w14:textId="47C57C0E" w:rsidR="00C60087" w:rsidRPr="007707AC" w:rsidRDefault="00C60087" w:rsidP="00C60087">
      <w:pPr>
        <w:pStyle w:val="Cambriabold"/>
        <w:rPr>
          <w:b w:val="0"/>
          <w:bCs w:val="0"/>
        </w:rPr>
      </w:pPr>
      <w:r w:rsidRPr="007707AC">
        <w:rPr>
          <w:b w:val="0"/>
          <w:bCs w:val="0"/>
        </w:rPr>
        <w:lastRenderedPageBreak/>
        <w:t xml:space="preserve">For FERS employees covered under FERS prior to January 1, 2013, PCLOB contributes an amount equal to 18.4% of the employees’ basic pay to the plan. FERS employees covered under </w:t>
      </w:r>
      <w:r w:rsidR="008F7305" w:rsidRPr="008F7305">
        <w:rPr>
          <w:b w:val="0"/>
          <w:bCs w:val="0"/>
        </w:rPr>
        <w:t xml:space="preserve">FERS Revised Annuity Employees </w:t>
      </w:r>
      <w:r w:rsidR="008F7305">
        <w:rPr>
          <w:b w:val="0"/>
          <w:bCs w:val="0"/>
        </w:rPr>
        <w:t>(</w:t>
      </w:r>
      <w:r w:rsidRPr="007707AC">
        <w:rPr>
          <w:b w:val="0"/>
          <w:bCs w:val="0"/>
        </w:rPr>
        <w:t>FERS-RAE</w:t>
      </w:r>
      <w:r w:rsidR="008F7305">
        <w:rPr>
          <w:b w:val="0"/>
          <w:bCs w:val="0"/>
        </w:rPr>
        <w:t>)</w:t>
      </w:r>
      <w:r w:rsidRPr="007707AC">
        <w:rPr>
          <w:b w:val="0"/>
          <w:bCs w:val="0"/>
        </w:rPr>
        <w:t xml:space="preserve"> or </w:t>
      </w:r>
      <w:r w:rsidR="008F7305" w:rsidRPr="008F7305">
        <w:rPr>
          <w:b w:val="0"/>
          <w:bCs w:val="0"/>
        </w:rPr>
        <w:t>FERS Further Revised Annuity Employees</w:t>
      </w:r>
      <w:r w:rsidR="008F7305">
        <w:rPr>
          <w:b w:val="0"/>
          <w:bCs w:val="0"/>
        </w:rPr>
        <w:t xml:space="preserve"> (FERS-</w:t>
      </w:r>
      <w:r w:rsidRPr="007707AC">
        <w:rPr>
          <w:b w:val="0"/>
          <w:bCs w:val="0"/>
        </w:rPr>
        <w:t>FRAE</w:t>
      </w:r>
      <w:r w:rsidR="008F7305">
        <w:rPr>
          <w:b w:val="0"/>
          <w:bCs w:val="0"/>
        </w:rPr>
        <w:t>)</w:t>
      </w:r>
      <w:r w:rsidRPr="007707AC">
        <w:rPr>
          <w:b w:val="0"/>
          <w:bCs w:val="0"/>
        </w:rPr>
        <w:t xml:space="preserve"> hired on or after January 1, 2013, pay a higher percentage of their pay for their retirement, and thus PCLOB contributes only 16.6% of each employee’s basic pay to the plan.</w:t>
      </w:r>
    </w:p>
    <w:p w14:paraId="24786F8A" w14:textId="192A9645" w:rsidR="00C60087" w:rsidRPr="007707AC" w:rsidRDefault="00C60087" w:rsidP="00C60087">
      <w:pPr>
        <w:pStyle w:val="Cambriabold"/>
        <w:rPr>
          <w:b w:val="0"/>
          <w:bCs w:val="0"/>
        </w:rPr>
      </w:pPr>
      <w:r w:rsidRPr="007707AC">
        <w:rPr>
          <w:b w:val="0"/>
          <w:bCs w:val="0"/>
        </w:rPr>
        <w:t>Employees are eligible to participate in the Thrift Savings Plan (TSP). The TSP is a defined contribution retirement plan intended to supplement the benefits provided under FERS. PCLOB contributes an amount equal to 1% of the employees</w:t>
      </w:r>
      <w:r w:rsidR="00977662">
        <w:rPr>
          <w:b w:val="0"/>
          <w:bCs w:val="0"/>
        </w:rPr>
        <w:t>’</w:t>
      </w:r>
      <w:r w:rsidRPr="007707AC">
        <w:rPr>
          <w:b w:val="0"/>
          <w:bCs w:val="0"/>
        </w:rPr>
        <w:t xml:space="preserve"> basic pay to the TSP and matches employee contributions up to an additional 4%. </w:t>
      </w:r>
    </w:p>
    <w:p w14:paraId="3B5BBE93" w14:textId="77777777" w:rsidR="00C60087" w:rsidRPr="007707AC" w:rsidRDefault="00C60087" w:rsidP="00C60087">
      <w:pPr>
        <w:pStyle w:val="Cambriabold"/>
        <w:rPr>
          <w:b w:val="0"/>
          <w:bCs w:val="0"/>
        </w:rPr>
      </w:pPr>
      <w:r w:rsidRPr="007707AC">
        <w:rPr>
          <w:b w:val="0"/>
          <w:bCs w:val="0"/>
        </w:rPr>
        <w:t xml:space="preserve">OPM is responsible for reporting assets, accumulated plan benefits, and unfunded liabilities, if any, applicable to FERS </w:t>
      </w:r>
      <w:proofErr w:type="gramStart"/>
      <w:r w:rsidRPr="007707AC">
        <w:rPr>
          <w:b w:val="0"/>
          <w:bCs w:val="0"/>
        </w:rPr>
        <w:t>employees</w:t>
      </w:r>
      <w:proofErr w:type="gramEnd"/>
      <w:r w:rsidRPr="007707AC">
        <w:rPr>
          <w:b w:val="0"/>
          <w:bCs w:val="0"/>
        </w:rPr>
        <w:t xml:space="preserve"> government-wide, including the agency’s employees. PCLOB has recognized an imputed cost and imputed financing source for the difference between the estimated service cost and the contributions made by the agency and its covered employees. The estimated cost of pension benefits is based on rates issued by OPM.  </w:t>
      </w:r>
    </w:p>
    <w:p w14:paraId="49AAE525" w14:textId="77777777" w:rsidR="00C60087" w:rsidRPr="007707AC" w:rsidRDefault="00C60087" w:rsidP="00C60087">
      <w:pPr>
        <w:pStyle w:val="Cambriabold"/>
        <w:rPr>
          <w:b w:val="0"/>
          <w:bCs w:val="0"/>
        </w:rPr>
      </w:pPr>
      <w:r w:rsidRPr="007707AC">
        <w:rPr>
          <w:b w:val="0"/>
          <w:bCs w:val="0"/>
        </w:rPr>
        <w:t xml:space="preserve">Employees are entitled to participate in the Federal Employees Group Life Insurance (FEGLI) Program. Participating employees can obtain “basic life” term life insurance, with the employee paying two-thirds of the cost and PCLOB paying one-third. Additional coverage is optional, to be paid fully by the employee. The basic life coverage may be continued into retirement if certain requirements are met. </w:t>
      </w:r>
    </w:p>
    <w:p w14:paraId="3C258AD1" w14:textId="07D87F5C" w:rsidR="00C60087" w:rsidRPr="007707AC" w:rsidRDefault="00C60087" w:rsidP="00C60087">
      <w:pPr>
        <w:pStyle w:val="Cambriabold"/>
      </w:pPr>
      <w:r w:rsidRPr="007707AC">
        <w:rPr>
          <w:b w:val="0"/>
          <w:bCs w:val="0"/>
        </w:rPr>
        <w:t>OPM administers the FEGLI program and is responsible for the reporting of related liabilities. Each fiscal year, OPM calculates the U.S. Government’s service cost for the post-retirement portion of basic life coverage. Because PCLOB</w:t>
      </w:r>
      <w:r w:rsidR="0058101D">
        <w:rPr>
          <w:b w:val="0"/>
          <w:bCs w:val="0"/>
        </w:rPr>
        <w:t>’</w:t>
      </w:r>
      <w:r w:rsidRPr="007707AC">
        <w:rPr>
          <w:b w:val="0"/>
          <w:bCs w:val="0"/>
        </w:rPr>
        <w:t>s contributions to the basic life coverage are fully allocated by OPM to the pre-retirement portion of coverage, the agency has recognized the entire service cost of the post-retirement portion of basic life coverage as an imputed cost and imputed financing source.</w:t>
      </w:r>
    </w:p>
    <w:p w14:paraId="483640B2" w14:textId="77777777" w:rsidR="0041332A" w:rsidRDefault="0041332A">
      <w:pPr>
        <w:rPr>
          <w:rFonts w:ascii="Cambria" w:eastAsia="Calibri" w:hAnsi="Cambria" w:cs="Times New Roman"/>
          <w:b/>
          <w:bCs/>
          <w:sz w:val="24"/>
          <w:szCs w:val="24"/>
        </w:rPr>
      </w:pPr>
      <w:r>
        <w:br w:type="page"/>
      </w:r>
    </w:p>
    <w:p w14:paraId="074B4D9E" w14:textId="510ACD70" w:rsidR="00C60087" w:rsidRPr="007707AC" w:rsidRDefault="00C60087" w:rsidP="00C60087">
      <w:pPr>
        <w:pStyle w:val="Cambriabold"/>
        <w:rPr>
          <w:iCs/>
        </w:rPr>
      </w:pPr>
      <w:r w:rsidRPr="007707AC">
        <w:lastRenderedPageBreak/>
        <w:t>H.</w:t>
      </w:r>
      <w:r w:rsidR="00C408AB">
        <w:t xml:space="preserve"> </w:t>
      </w:r>
      <w:r w:rsidRPr="007707AC">
        <w:t xml:space="preserve">Intragovernmental </w:t>
      </w:r>
      <w:r>
        <w:t>and Other than Intragovernmental Transactions</w:t>
      </w:r>
    </w:p>
    <w:p w14:paraId="6EED6A22" w14:textId="7546D932" w:rsidR="00C60087" w:rsidRDefault="00C60087" w:rsidP="005622EC">
      <w:pPr>
        <w:pStyle w:val="Cambriabold"/>
        <w:spacing w:line="276" w:lineRule="auto"/>
        <w:rPr>
          <w:b w:val="0"/>
          <w:bCs w:val="0"/>
        </w:rPr>
      </w:pPr>
      <w:r w:rsidRPr="00CA1D8B">
        <w:rPr>
          <w:b w:val="0"/>
          <w:bCs w:val="0"/>
        </w:rPr>
        <w:t xml:space="preserve">SFFAS 1, </w:t>
      </w:r>
      <w:r w:rsidRPr="00337CB2">
        <w:rPr>
          <w:b w:val="0"/>
          <w:bCs w:val="0"/>
          <w:i/>
          <w:iCs/>
        </w:rPr>
        <w:t>Accounting for Selected Assets and Liabilities</w:t>
      </w:r>
      <w:r w:rsidRPr="00CA1D8B">
        <w:rPr>
          <w:b w:val="0"/>
          <w:bCs w:val="0"/>
        </w:rPr>
        <w:t xml:space="preserve">, distinguishes between </w:t>
      </w:r>
      <w:r w:rsidR="00D83C04">
        <w:rPr>
          <w:b w:val="0"/>
          <w:bCs w:val="0"/>
        </w:rPr>
        <w:t>i</w:t>
      </w:r>
      <w:r w:rsidRPr="00CA1D8B">
        <w:rPr>
          <w:b w:val="0"/>
          <w:bCs w:val="0"/>
        </w:rPr>
        <w:t xml:space="preserve">ntragovernmental and </w:t>
      </w:r>
      <w:r w:rsidR="00D83C04">
        <w:rPr>
          <w:b w:val="0"/>
          <w:bCs w:val="0"/>
        </w:rPr>
        <w:t>o</w:t>
      </w:r>
      <w:r>
        <w:rPr>
          <w:b w:val="0"/>
          <w:bCs w:val="0"/>
        </w:rPr>
        <w:t>ther than</w:t>
      </w:r>
      <w:r w:rsidRPr="00CA1D8B">
        <w:rPr>
          <w:b w:val="0"/>
          <w:bCs w:val="0"/>
        </w:rPr>
        <w:t xml:space="preserve"> </w:t>
      </w:r>
      <w:r w:rsidR="00D83C04">
        <w:rPr>
          <w:b w:val="0"/>
          <w:bCs w:val="0"/>
        </w:rPr>
        <w:t>i</w:t>
      </w:r>
      <w:r>
        <w:rPr>
          <w:b w:val="0"/>
          <w:bCs w:val="0"/>
        </w:rPr>
        <w:t xml:space="preserve">ntragovernmental </w:t>
      </w:r>
      <w:r w:rsidRPr="00CA1D8B">
        <w:rPr>
          <w:b w:val="0"/>
          <w:bCs w:val="0"/>
        </w:rPr>
        <w:t>assets and liabilities</w:t>
      </w:r>
      <w:r w:rsidR="0041332A">
        <w:rPr>
          <w:b w:val="0"/>
          <w:bCs w:val="0"/>
        </w:rPr>
        <w:t xml:space="preserve"> as follows:</w:t>
      </w:r>
    </w:p>
    <w:tbl>
      <w:tblPr>
        <w:tblStyle w:val="TableGrid"/>
        <w:tblW w:w="9360" w:type="dxa"/>
        <w:tblInd w:w="-15" w:type="dxa"/>
        <w:tblLook w:val="04A0" w:firstRow="1" w:lastRow="0" w:firstColumn="1" w:lastColumn="0" w:noHBand="0" w:noVBand="1"/>
      </w:tblPr>
      <w:tblGrid>
        <w:gridCol w:w="2340"/>
        <w:gridCol w:w="2430"/>
        <w:gridCol w:w="2311"/>
        <w:gridCol w:w="2279"/>
      </w:tblGrid>
      <w:tr w:rsidR="005622EC" w14:paraId="18458334" w14:textId="77777777" w:rsidTr="00502B1A">
        <w:trPr>
          <w:trHeight w:val="1050"/>
        </w:trPr>
        <w:tc>
          <w:tcPr>
            <w:tcW w:w="4770" w:type="dxa"/>
            <w:gridSpan w:val="2"/>
            <w:tcBorders>
              <w:top w:val="single" w:sz="12" w:space="0" w:color="auto"/>
              <w:left w:val="single" w:sz="12" w:space="0" w:color="auto"/>
              <w:right w:val="single" w:sz="12" w:space="0" w:color="auto"/>
            </w:tcBorders>
          </w:tcPr>
          <w:p w14:paraId="7BD23C78" w14:textId="31C0A42C" w:rsidR="00C92B5F" w:rsidRPr="00502B1A" w:rsidRDefault="00C92B5F" w:rsidP="00502B1A">
            <w:pPr>
              <w:pStyle w:val="Cambriabold"/>
              <w:spacing w:before="0" w:line="276" w:lineRule="auto"/>
              <w:jc w:val="left"/>
              <w:rPr>
                <w:b w:val="0"/>
                <w:bCs w:val="0"/>
                <w:sz w:val="20"/>
                <w:szCs w:val="20"/>
              </w:rPr>
            </w:pPr>
            <w:r w:rsidRPr="00502B1A">
              <w:rPr>
                <w:smallCaps/>
              </w:rPr>
              <w:t>Intragovernmental</w:t>
            </w:r>
            <w:r w:rsidRPr="00502B1A">
              <w:rPr>
                <w:sz w:val="20"/>
                <w:szCs w:val="20"/>
              </w:rPr>
              <w:t xml:space="preserve"> </w:t>
            </w:r>
            <w:r w:rsidRPr="00502B1A">
              <w:rPr>
                <w:b w:val="0"/>
                <w:bCs w:val="0"/>
                <w:sz w:val="20"/>
                <w:szCs w:val="20"/>
              </w:rPr>
              <w:t xml:space="preserve">transactions </w:t>
            </w:r>
            <w:r w:rsidR="005622EC">
              <w:rPr>
                <w:b w:val="0"/>
                <w:bCs w:val="0"/>
                <w:sz w:val="20"/>
                <w:szCs w:val="20"/>
              </w:rPr>
              <w:t xml:space="preserve">occur </w:t>
            </w:r>
            <w:r w:rsidR="0041332A">
              <w:rPr>
                <w:b w:val="0"/>
                <w:bCs w:val="0"/>
                <w:sz w:val="20"/>
                <w:szCs w:val="20"/>
              </w:rPr>
              <w:t>with other</w:t>
            </w:r>
            <w:r w:rsidRPr="00502B1A">
              <w:rPr>
                <w:b w:val="0"/>
                <w:bCs w:val="0"/>
                <w:sz w:val="20"/>
                <w:szCs w:val="20"/>
              </w:rPr>
              <w:t xml:space="preserve"> federal entities.</w:t>
            </w:r>
          </w:p>
        </w:tc>
        <w:tc>
          <w:tcPr>
            <w:tcW w:w="4590" w:type="dxa"/>
            <w:gridSpan w:val="2"/>
            <w:tcBorders>
              <w:top w:val="single" w:sz="12" w:space="0" w:color="auto"/>
              <w:left w:val="single" w:sz="12" w:space="0" w:color="auto"/>
              <w:right w:val="single" w:sz="12" w:space="0" w:color="auto"/>
            </w:tcBorders>
          </w:tcPr>
          <w:p w14:paraId="3E0671B8" w14:textId="684420DE" w:rsidR="00C92B5F" w:rsidRPr="00502B1A" w:rsidRDefault="00C92B5F" w:rsidP="00502B1A">
            <w:pPr>
              <w:pStyle w:val="Cambriabold"/>
              <w:spacing w:before="0" w:line="276" w:lineRule="auto"/>
              <w:jc w:val="left"/>
              <w:rPr>
                <w:sz w:val="20"/>
                <w:szCs w:val="20"/>
              </w:rPr>
            </w:pPr>
            <w:r w:rsidRPr="00502B1A">
              <w:rPr>
                <w:smallCaps/>
              </w:rPr>
              <w:t>Other than intragovernmental</w:t>
            </w:r>
            <w:r w:rsidRPr="0041332A">
              <w:rPr>
                <w:b w:val="0"/>
                <w:bCs w:val="0"/>
              </w:rPr>
              <w:t xml:space="preserve"> </w:t>
            </w:r>
            <w:r w:rsidRPr="00502B1A">
              <w:rPr>
                <w:b w:val="0"/>
                <w:bCs w:val="0"/>
                <w:sz w:val="20"/>
                <w:szCs w:val="20"/>
              </w:rPr>
              <w:t xml:space="preserve">transactions </w:t>
            </w:r>
            <w:r w:rsidR="005622EC">
              <w:rPr>
                <w:b w:val="0"/>
                <w:bCs w:val="0"/>
                <w:sz w:val="20"/>
                <w:szCs w:val="20"/>
              </w:rPr>
              <w:t xml:space="preserve">occur </w:t>
            </w:r>
            <w:r w:rsidRPr="00502B1A">
              <w:rPr>
                <w:b w:val="0"/>
                <w:bCs w:val="0"/>
                <w:sz w:val="20"/>
                <w:szCs w:val="20"/>
              </w:rPr>
              <w:t>with public entities, i.e., domestic and foreign persons and organizations outside the U.S. Government.</w:t>
            </w:r>
          </w:p>
        </w:tc>
      </w:tr>
      <w:tr w:rsidR="0041332A" w14:paraId="31268644" w14:textId="77777777" w:rsidTr="00502B1A">
        <w:trPr>
          <w:trHeight w:val="1340"/>
        </w:trPr>
        <w:tc>
          <w:tcPr>
            <w:tcW w:w="2340" w:type="dxa"/>
            <w:tcBorders>
              <w:left w:val="single" w:sz="12" w:space="0" w:color="auto"/>
              <w:bottom w:val="single" w:sz="12" w:space="0" w:color="auto"/>
            </w:tcBorders>
          </w:tcPr>
          <w:p w14:paraId="3DC70FD2" w14:textId="42A41A51" w:rsidR="00C92B5F" w:rsidRPr="00502B1A" w:rsidRDefault="00C92B5F" w:rsidP="00502B1A">
            <w:pPr>
              <w:pStyle w:val="Cambriabold"/>
              <w:spacing w:before="0" w:line="276" w:lineRule="auto"/>
              <w:contextualSpacing/>
              <w:jc w:val="left"/>
              <w:rPr>
                <w:sz w:val="20"/>
                <w:szCs w:val="20"/>
              </w:rPr>
            </w:pPr>
            <w:r w:rsidRPr="00502B1A">
              <w:rPr>
                <w:b w:val="0"/>
                <w:bCs w:val="0"/>
                <w:sz w:val="20"/>
                <w:szCs w:val="20"/>
              </w:rPr>
              <w:t xml:space="preserve">Intragovernmental </w:t>
            </w:r>
            <w:r w:rsidRPr="00502B1A">
              <w:rPr>
                <w:sz w:val="20"/>
                <w:szCs w:val="20"/>
              </w:rPr>
              <w:t>assets</w:t>
            </w:r>
            <w:r w:rsidRPr="00502B1A">
              <w:rPr>
                <w:b w:val="0"/>
                <w:bCs w:val="0"/>
                <w:sz w:val="20"/>
                <w:szCs w:val="20"/>
              </w:rPr>
              <w:t xml:space="preserve"> are claims other federal entities owe to PCLOB.</w:t>
            </w:r>
          </w:p>
        </w:tc>
        <w:tc>
          <w:tcPr>
            <w:tcW w:w="2430" w:type="dxa"/>
            <w:tcBorders>
              <w:bottom w:val="single" w:sz="12" w:space="0" w:color="auto"/>
              <w:right w:val="single" w:sz="12" w:space="0" w:color="auto"/>
            </w:tcBorders>
          </w:tcPr>
          <w:p w14:paraId="18B6D265" w14:textId="7DB64658" w:rsidR="00C92B5F" w:rsidRPr="00502B1A" w:rsidRDefault="005622EC" w:rsidP="00502B1A">
            <w:pPr>
              <w:pStyle w:val="Cambriabold"/>
              <w:spacing w:before="0" w:line="276" w:lineRule="auto"/>
              <w:contextualSpacing/>
              <w:jc w:val="left"/>
              <w:rPr>
                <w:sz w:val="20"/>
                <w:szCs w:val="20"/>
              </w:rPr>
            </w:pPr>
            <w:r w:rsidRPr="00502B1A">
              <w:rPr>
                <w:b w:val="0"/>
                <w:bCs w:val="0"/>
                <w:sz w:val="20"/>
                <w:szCs w:val="20"/>
              </w:rPr>
              <w:t xml:space="preserve">Intragovernmental </w:t>
            </w:r>
            <w:r w:rsidRPr="00502B1A">
              <w:rPr>
                <w:sz w:val="20"/>
                <w:szCs w:val="20"/>
              </w:rPr>
              <w:t>liabilities</w:t>
            </w:r>
            <w:r w:rsidRPr="00502B1A">
              <w:rPr>
                <w:b w:val="0"/>
                <w:bCs w:val="0"/>
                <w:sz w:val="20"/>
                <w:szCs w:val="20"/>
              </w:rPr>
              <w:t xml:space="preserve"> are claims against P</w:t>
            </w:r>
            <w:r w:rsidR="00383277">
              <w:rPr>
                <w:b w:val="0"/>
                <w:bCs w:val="0"/>
                <w:sz w:val="20"/>
                <w:szCs w:val="20"/>
              </w:rPr>
              <w:t>CL</w:t>
            </w:r>
            <w:r w:rsidRPr="00502B1A">
              <w:rPr>
                <w:b w:val="0"/>
                <w:bCs w:val="0"/>
                <w:sz w:val="20"/>
                <w:szCs w:val="20"/>
              </w:rPr>
              <w:t>OB by other federal entities.</w:t>
            </w:r>
          </w:p>
        </w:tc>
        <w:tc>
          <w:tcPr>
            <w:tcW w:w="2311" w:type="dxa"/>
            <w:tcBorders>
              <w:left w:val="single" w:sz="12" w:space="0" w:color="auto"/>
              <w:bottom w:val="single" w:sz="12" w:space="0" w:color="auto"/>
            </w:tcBorders>
          </w:tcPr>
          <w:p w14:paraId="38B21DC5" w14:textId="148107B1" w:rsidR="00C92B5F" w:rsidRPr="00502B1A" w:rsidRDefault="005622EC" w:rsidP="00502B1A">
            <w:pPr>
              <w:pStyle w:val="Cambriabold"/>
              <w:spacing w:before="0" w:line="276" w:lineRule="auto"/>
              <w:contextualSpacing/>
              <w:jc w:val="left"/>
              <w:rPr>
                <w:b w:val="0"/>
                <w:bCs w:val="0"/>
                <w:sz w:val="20"/>
                <w:szCs w:val="20"/>
              </w:rPr>
            </w:pPr>
            <w:r w:rsidRPr="00502B1A">
              <w:rPr>
                <w:b w:val="0"/>
                <w:bCs w:val="0"/>
                <w:sz w:val="20"/>
                <w:szCs w:val="20"/>
              </w:rPr>
              <w:t xml:space="preserve">Other than intragovernmental </w:t>
            </w:r>
            <w:r w:rsidRPr="00502B1A">
              <w:rPr>
                <w:sz w:val="20"/>
                <w:szCs w:val="20"/>
              </w:rPr>
              <w:t>assets</w:t>
            </w:r>
            <w:r w:rsidRPr="00502B1A">
              <w:rPr>
                <w:b w:val="0"/>
                <w:bCs w:val="0"/>
                <w:sz w:val="20"/>
                <w:szCs w:val="20"/>
              </w:rPr>
              <w:t xml:space="preserve"> are claims </w:t>
            </w:r>
            <w:r w:rsidR="0041332A">
              <w:rPr>
                <w:b w:val="0"/>
                <w:bCs w:val="0"/>
                <w:sz w:val="20"/>
                <w:szCs w:val="20"/>
              </w:rPr>
              <w:t>by</w:t>
            </w:r>
            <w:r w:rsidRPr="00502B1A">
              <w:rPr>
                <w:b w:val="0"/>
                <w:bCs w:val="0"/>
                <w:sz w:val="20"/>
                <w:szCs w:val="20"/>
              </w:rPr>
              <w:t xml:space="preserve"> PCLOB against public entities.</w:t>
            </w:r>
          </w:p>
        </w:tc>
        <w:tc>
          <w:tcPr>
            <w:tcW w:w="2279" w:type="dxa"/>
            <w:tcBorders>
              <w:bottom w:val="single" w:sz="12" w:space="0" w:color="auto"/>
              <w:right w:val="single" w:sz="12" w:space="0" w:color="auto"/>
            </w:tcBorders>
          </w:tcPr>
          <w:p w14:paraId="242CE76F" w14:textId="4407C8D7" w:rsidR="00C92B5F" w:rsidRPr="00502B1A" w:rsidRDefault="005622EC" w:rsidP="00502B1A">
            <w:pPr>
              <w:pStyle w:val="Cambriabold"/>
              <w:spacing w:before="0" w:line="276" w:lineRule="auto"/>
              <w:contextualSpacing/>
              <w:jc w:val="left"/>
              <w:rPr>
                <w:b w:val="0"/>
                <w:bCs w:val="0"/>
                <w:sz w:val="20"/>
                <w:szCs w:val="20"/>
              </w:rPr>
            </w:pPr>
            <w:r w:rsidRPr="00502B1A">
              <w:rPr>
                <w:b w:val="0"/>
                <w:bCs w:val="0"/>
                <w:sz w:val="20"/>
                <w:szCs w:val="20"/>
              </w:rPr>
              <w:t>Other than intragovernmental</w:t>
            </w:r>
            <w:r w:rsidRPr="00502B1A">
              <w:rPr>
                <w:sz w:val="20"/>
                <w:szCs w:val="20"/>
              </w:rPr>
              <w:t xml:space="preserve"> liabilities</w:t>
            </w:r>
            <w:r w:rsidRPr="00502B1A">
              <w:rPr>
                <w:b w:val="0"/>
                <w:bCs w:val="0"/>
                <w:sz w:val="20"/>
                <w:szCs w:val="20"/>
              </w:rPr>
              <w:t xml:space="preserve"> are amounts that </w:t>
            </w:r>
            <w:r w:rsidR="0041332A">
              <w:rPr>
                <w:b w:val="0"/>
                <w:bCs w:val="0"/>
                <w:sz w:val="20"/>
                <w:szCs w:val="20"/>
              </w:rPr>
              <w:t>PCLOB</w:t>
            </w:r>
            <w:r w:rsidRPr="00502B1A">
              <w:rPr>
                <w:b w:val="0"/>
                <w:bCs w:val="0"/>
                <w:sz w:val="20"/>
                <w:szCs w:val="20"/>
              </w:rPr>
              <w:t xml:space="preserve"> owes to public entities.</w:t>
            </w:r>
          </w:p>
        </w:tc>
      </w:tr>
    </w:tbl>
    <w:p w14:paraId="250D7BFC" w14:textId="6253AD25" w:rsidR="00C60087" w:rsidRPr="007707AC" w:rsidRDefault="00C60087" w:rsidP="00977662">
      <w:pPr>
        <w:pStyle w:val="Cambriabold"/>
        <w:keepNext/>
        <w:keepLines/>
        <w:spacing w:line="276" w:lineRule="auto"/>
      </w:pPr>
      <w:r w:rsidRPr="007707AC">
        <w:t>I. Fund Balance with Treasury</w:t>
      </w:r>
    </w:p>
    <w:p w14:paraId="115A401A" w14:textId="3EF1FD59" w:rsidR="00C60087" w:rsidRPr="007707AC" w:rsidRDefault="00AB2E0A" w:rsidP="00D63336">
      <w:pPr>
        <w:pStyle w:val="Cambriabold"/>
        <w:spacing w:line="276" w:lineRule="auto"/>
        <w:rPr>
          <w:b w:val="0"/>
          <w:bCs w:val="0"/>
        </w:rPr>
      </w:pPr>
      <w:r w:rsidRPr="00AB2E0A">
        <w:rPr>
          <w:b w:val="0"/>
          <w:bCs w:val="0"/>
        </w:rPr>
        <w:t xml:space="preserve">Treasury processes PCLOB’s receipts and disbursements. </w:t>
      </w:r>
      <w:r w:rsidR="0061595C">
        <w:rPr>
          <w:b w:val="0"/>
          <w:bCs w:val="0"/>
        </w:rPr>
        <w:t>T</w:t>
      </w:r>
      <w:r w:rsidR="00C60087" w:rsidRPr="007707AC">
        <w:rPr>
          <w:b w:val="0"/>
          <w:bCs w:val="0"/>
        </w:rPr>
        <w:t xml:space="preserve">he </w:t>
      </w:r>
      <w:r w:rsidR="0061595C">
        <w:rPr>
          <w:b w:val="0"/>
          <w:bCs w:val="0"/>
        </w:rPr>
        <w:t xml:space="preserve">agency’s </w:t>
      </w:r>
      <w:proofErr w:type="spellStart"/>
      <w:r w:rsidR="00C60087">
        <w:rPr>
          <w:b w:val="0"/>
          <w:bCs w:val="0"/>
        </w:rPr>
        <w:t>FBwT</w:t>
      </w:r>
      <w:proofErr w:type="spellEnd"/>
      <w:r w:rsidR="00C60087" w:rsidRPr="007707AC">
        <w:rPr>
          <w:b w:val="0"/>
          <w:bCs w:val="0"/>
        </w:rPr>
        <w:t xml:space="preserve"> </w:t>
      </w:r>
      <w:r w:rsidR="0061595C">
        <w:rPr>
          <w:b w:val="0"/>
          <w:bCs w:val="0"/>
        </w:rPr>
        <w:t>represents</w:t>
      </w:r>
      <w:r w:rsidR="00C60087" w:rsidRPr="007707AC">
        <w:rPr>
          <w:b w:val="0"/>
          <w:bCs w:val="0"/>
        </w:rPr>
        <w:t xml:space="preserve"> the aggregate amount of the agency’s accounts with Treasury for which the agency is authorized to liquidate obligations, pay funded liabilities, and make expenditures. </w:t>
      </w:r>
      <w:proofErr w:type="spellStart"/>
      <w:r w:rsidR="00C60087" w:rsidRPr="007707AC">
        <w:rPr>
          <w:b w:val="0"/>
          <w:bCs w:val="0"/>
        </w:rPr>
        <w:t>FBwT</w:t>
      </w:r>
      <w:proofErr w:type="spellEnd"/>
      <w:r w:rsidR="00C60087" w:rsidRPr="007707AC">
        <w:rPr>
          <w:b w:val="0"/>
          <w:bCs w:val="0"/>
        </w:rPr>
        <w:t xml:space="preserve"> </w:t>
      </w:r>
      <w:r w:rsidR="0061595C">
        <w:rPr>
          <w:b w:val="0"/>
          <w:bCs w:val="0"/>
        </w:rPr>
        <w:t>may be</w:t>
      </w:r>
      <w:r w:rsidR="00C60087" w:rsidRPr="007707AC">
        <w:rPr>
          <w:b w:val="0"/>
          <w:bCs w:val="0"/>
        </w:rPr>
        <w:t xml:space="preserve"> increased through the receipt of non-expenditure Treasury warrants for appropriations, positive non-expenditure transfers, and other expenditure inflows of funds</w:t>
      </w:r>
      <w:r w:rsidR="00D63336">
        <w:rPr>
          <w:b w:val="0"/>
          <w:bCs w:val="0"/>
        </w:rPr>
        <w:t xml:space="preserve">; similarly, </w:t>
      </w:r>
      <w:proofErr w:type="spellStart"/>
      <w:r w:rsidR="00C60087" w:rsidRPr="007707AC">
        <w:rPr>
          <w:b w:val="0"/>
          <w:bCs w:val="0"/>
        </w:rPr>
        <w:t>FBwT</w:t>
      </w:r>
      <w:proofErr w:type="spellEnd"/>
      <w:r w:rsidR="00C60087" w:rsidRPr="007707AC">
        <w:rPr>
          <w:b w:val="0"/>
          <w:bCs w:val="0"/>
        </w:rPr>
        <w:t xml:space="preserve"> </w:t>
      </w:r>
      <w:r w:rsidR="0061595C">
        <w:rPr>
          <w:b w:val="0"/>
          <w:bCs w:val="0"/>
        </w:rPr>
        <w:t>may be</w:t>
      </w:r>
      <w:r w:rsidR="00C60087" w:rsidRPr="007707AC">
        <w:rPr>
          <w:b w:val="0"/>
          <w:bCs w:val="0"/>
        </w:rPr>
        <w:t xml:space="preserve"> reduced through non-expenditure Treasury warrants for rescissions, negative non-expenditure transfers, disbursements, and other expenditure cash outflows of funds.</w:t>
      </w:r>
    </w:p>
    <w:p w14:paraId="4E59D8D8" w14:textId="44B5D908" w:rsidR="00C60087" w:rsidRPr="007707AC" w:rsidRDefault="0061595C" w:rsidP="00D63336">
      <w:pPr>
        <w:pStyle w:val="Cambriabold"/>
        <w:spacing w:line="276" w:lineRule="auto"/>
        <w:rPr>
          <w:b w:val="0"/>
          <w:bCs w:val="0"/>
        </w:rPr>
      </w:pPr>
      <w:r w:rsidRPr="007707AC">
        <w:rPr>
          <w:b w:val="0"/>
          <w:bCs w:val="0"/>
        </w:rPr>
        <w:t xml:space="preserve">The agency’s </w:t>
      </w:r>
      <w:proofErr w:type="spellStart"/>
      <w:r w:rsidRPr="007707AC">
        <w:rPr>
          <w:b w:val="0"/>
          <w:bCs w:val="0"/>
        </w:rPr>
        <w:t>FBwT</w:t>
      </w:r>
      <w:proofErr w:type="spellEnd"/>
      <w:r w:rsidRPr="007707AC">
        <w:rPr>
          <w:b w:val="0"/>
          <w:bCs w:val="0"/>
        </w:rPr>
        <w:t xml:space="preserve"> </w:t>
      </w:r>
      <w:r>
        <w:rPr>
          <w:b w:val="0"/>
          <w:bCs w:val="0"/>
        </w:rPr>
        <w:t>is</w:t>
      </w:r>
      <w:r w:rsidRPr="007707AC">
        <w:rPr>
          <w:b w:val="0"/>
          <w:bCs w:val="0"/>
        </w:rPr>
        <w:t xml:space="preserve"> </w:t>
      </w:r>
      <w:r>
        <w:rPr>
          <w:b w:val="0"/>
          <w:bCs w:val="0"/>
        </w:rPr>
        <w:t xml:space="preserve">primarily increased by </w:t>
      </w:r>
      <w:r w:rsidRPr="007707AC">
        <w:rPr>
          <w:b w:val="0"/>
          <w:bCs w:val="0"/>
        </w:rPr>
        <w:t xml:space="preserve">appropriations from which PCLOB is authorized to </w:t>
      </w:r>
      <w:r>
        <w:rPr>
          <w:b w:val="0"/>
          <w:bCs w:val="0"/>
        </w:rPr>
        <w:t>obligate, expend,</w:t>
      </w:r>
      <w:r w:rsidRPr="007707AC">
        <w:rPr>
          <w:b w:val="0"/>
          <w:bCs w:val="0"/>
        </w:rPr>
        <w:t xml:space="preserve"> and pay liabilities resulting from operational activity. </w:t>
      </w:r>
      <w:r>
        <w:rPr>
          <w:b w:val="0"/>
          <w:bCs w:val="0"/>
        </w:rPr>
        <w:t>These disbursements</w:t>
      </w:r>
      <w:r w:rsidR="0069434C">
        <w:rPr>
          <w:b w:val="0"/>
          <w:bCs w:val="0"/>
        </w:rPr>
        <w:t xml:space="preserve">, in turn, reduce PCLOB’s </w:t>
      </w:r>
      <w:proofErr w:type="spellStart"/>
      <w:r w:rsidR="0069434C">
        <w:rPr>
          <w:b w:val="0"/>
          <w:bCs w:val="0"/>
        </w:rPr>
        <w:t>FBwT</w:t>
      </w:r>
      <w:proofErr w:type="spellEnd"/>
      <w:r w:rsidR="0069434C">
        <w:rPr>
          <w:b w:val="0"/>
          <w:bCs w:val="0"/>
        </w:rPr>
        <w:t xml:space="preserve"> balance.</w:t>
      </w:r>
      <w:r>
        <w:rPr>
          <w:b w:val="0"/>
          <w:bCs w:val="0"/>
        </w:rPr>
        <w:t xml:space="preserve"> </w:t>
      </w:r>
      <w:r w:rsidR="0069434C">
        <w:rPr>
          <w:b w:val="0"/>
          <w:bCs w:val="0"/>
        </w:rPr>
        <w:t xml:space="preserve">However, </w:t>
      </w:r>
      <w:proofErr w:type="spellStart"/>
      <w:r w:rsidR="00737181">
        <w:rPr>
          <w:b w:val="0"/>
          <w:bCs w:val="0"/>
        </w:rPr>
        <w:t>FBwT</w:t>
      </w:r>
      <w:proofErr w:type="spellEnd"/>
      <w:r w:rsidR="00737181">
        <w:rPr>
          <w:b w:val="0"/>
          <w:bCs w:val="0"/>
        </w:rPr>
        <w:t xml:space="preserve"> balance is also reduced by the cancellation of </w:t>
      </w:r>
      <w:r w:rsidR="007F552B">
        <w:rPr>
          <w:b w:val="0"/>
          <w:bCs w:val="0"/>
        </w:rPr>
        <w:t xml:space="preserve">expired appropriation </w:t>
      </w:r>
      <w:r w:rsidR="00886ED3">
        <w:rPr>
          <w:b w:val="0"/>
          <w:bCs w:val="0"/>
        </w:rPr>
        <w:t>authority</w:t>
      </w:r>
      <w:r w:rsidR="007F552B">
        <w:rPr>
          <w:b w:val="0"/>
          <w:bCs w:val="0"/>
        </w:rPr>
        <w:t>. D</w:t>
      </w:r>
      <w:r w:rsidR="00886ED3">
        <w:rPr>
          <w:b w:val="0"/>
          <w:bCs w:val="0"/>
        </w:rPr>
        <w:t xml:space="preserve">ue to </w:t>
      </w:r>
      <w:r w:rsidR="00D63336">
        <w:rPr>
          <w:b w:val="0"/>
          <w:bCs w:val="0"/>
        </w:rPr>
        <w:t xml:space="preserve">PCLOB’s </w:t>
      </w:r>
      <w:r w:rsidR="00886ED3">
        <w:rPr>
          <w:b w:val="0"/>
          <w:bCs w:val="0"/>
        </w:rPr>
        <w:t>receipt of two-year funding</w:t>
      </w:r>
      <w:r w:rsidR="00D63336">
        <w:rPr>
          <w:b w:val="0"/>
          <w:bCs w:val="0"/>
        </w:rPr>
        <w:t xml:space="preserve"> since the agency formed</w:t>
      </w:r>
      <w:r w:rsidR="00886ED3">
        <w:rPr>
          <w:b w:val="0"/>
          <w:bCs w:val="0"/>
        </w:rPr>
        <w:t>,</w:t>
      </w:r>
      <w:r w:rsidR="00737181">
        <w:rPr>
          <w:b w:val="0"/>
          <w:bCs w:val="0"/>
        </w:rPr>
        <w:t xml:space="preserve"> </w:t>
      </w:r>
      <w:r w:rsidR="007F552B">
        <w:rPr>
          <w:b w:val="0"/>
          <w:bCs w:val="0"/>
        </w:rPr>
        <w:t xml:space="preserve">appropriations </w:t>
      </w:r>
      <w:r w:rsidR="00D63336">
        <w:rPr>
          <w:b w:val="0"/>
          <w:bCs w:val="0"/>
        </w:rPr>
        <w:t xml:space="preserve">have </w:t>
      </w:r>
      <w:r w:rsidR="007F552B">
        <w:rPr>
          <w:b w:val="0"/>
          <w:bCs w:val="0"/>
        </w:rPr>
        <w:t>remain</w:t>
      </w:r>
      <w:r w:rsidR="00D63336">
        <w:rPr>
          <w:b w:val="0"/>
          <w:bCs w:val="0"/>
        </w:rPr>
        <w:t>ed</w:t>
      </w:r>
      <w:r w:rsidR="007F552B">
        <w:rPr>
          <w:b w:val="0"/>
          <w:bCs w:val="0"/>
        </w:rPr>
        <w:t xml:space="preserve"> available for use for two </w:t>
      </w:r>
      <w:r w:rsidR="00737181">
        <w:rPr>
          <w:b w:val="0"/>
          <w:bCs w:val="0"/>
        </w:rPr>
        <w:t>years</w:t>
      </w:r>
      <w:r w:rsidR="007F552B">
        <w:rPr>
          <w:b w:val="0"/>
          <w:bCs w:val="0"/>
        </w:rPr>
        <w:t xml:space="preserve"> before expiration,</w:t>
      </w:r>
      <w:r w:rsidR="00886ED3">
        <w:rPr>
          <w:b w:val="0"/>
          <w:bCs w:val="0"/>
        </w:rPr>
        <w:t xml:space="preserve"> cancel</w:t>
      </w:r>
      <w:r w:rsidR="007F552B">
        <w:rPr>
          <w:b w:val="0"/>
          <w:bCs w:val="0"/>
        </w:rPr>
        <w:t>ling</w:t>
      </w:r>
      <w:r w:rsidR="00886ED3">
        <w:rPr>
          <w:b w:val="0"/>
          <w:bCs w:val="0"/>
        </w:rPr>
        <w:t xml:space="preserve"> after the passage of five additional years</w:t>
      </w:r>
      <w:r w:rsidR="007F552B">
        <w:rPr>
          <w:b w:val="0"/>
          <w:bCs w:val="0"/>
        </w:rPr>
        <w:t xml:space="preserve"> </w:t>
      </w:r>
      <w:r w:rsidR="00737181">
        <w:rPr>
          <w:b w:val="0"/>
          <w:bCs w:val="0"/>
        </w:rPr>
        <w:t xml:space="preserve">returned to Treasury. </w:t>
      </w:r>
      <w:r w:rsidR="0069434C">
        <w:rPr>
          <w:b w:val="0"/>
          <w:bCs w:val="0"/>
        </w:rPr>
        <w:t>The amount returned to Treasury varies from year to year</w:t>
      </w:r>
      <w:r w:rsidR="00886ED3">
        <w:rPr>
          <w:b w:val="0"/>
          <w:bCs w:val="0"/>
        </w:rPr>
        <w:t xml:space="preserve"> based on the size and subsequent use of appropriations </w:t>
      </w:r>
      <w:r w:rsidR="006A6D3B">
        <w:rPr>
          <w:b w:val="0"/>
          <w:bCs w:val="0"/>
        </w:rPr>
        <w:t>granted</w:t>
      </w:r>
      <w:r w:rsidR="00886ED3">
        <w:rPr>
          <w:b w:val="0"/>
          <w:bCs w:val="0"/>
        </w:rPr>
        <w:t xml:space="preserve"> prior to expiration</w:t>
      </w:r>
      <w:r w:rsidR="007F552B">
        <w:rPr>
          <w:b w:val="0"/>
          <w:bCs w:val="0"/>
        </w:rPr>
        <w:t xml:space="preserve"> and cancellation </w:t>
      </w:r>
      <w:r w:rsidR="006A6D3B">
        <w:rPr>
          <w:b w:val="0"/>
          <w:bCs w:val="0"/>
        </w:rPr>
        <w:t>and</w:t>
      </w:r>
      <w:r w:rsidR="00D63336">
        <w:rPr>
          <w:b w:val="0"/>
          <w:bCs w:val="0"/>
        </w:rPr>
        <w:t>,</w:t>
      </w:r>
      <w:r w:rsidR="006A6D3B">
        <w:rPr>
          <w:b w:val="0"/>
          <w:bCs w:val="0"/>
        </w:rPr>
        <w:t xml:space="preserve"> </w:t>
      </w:r>
      <w:proofErr w:type="gramStart"/>
      <w:r w:rsidR="006A6D3B">
        <w:rPr>
          <w:b w:val="0"/>
          <w:bCs w:val="0"/>
        </w:rPr>
        <w:t>as a result of</w:t>
      </w:r>
      <w:proofErr w:type="gramEnd"/>
      <w:r w:rsidR="006A6D3B">
        <w:rPr>
          <w:b w:val="0"/>
          <w:bCs w:val="0"/>
        </w:rPr>
        <w:t xml:space="preserve"> these factors</w:t>
      </w:r>
      <w:r w:rsidR="00D63336">
        <w:rPr>
          <w:b w:val="0"/>
          <w:bCs w:val="0"/>
        </w:rPr>
        <w:t>,</w:t>
      </w:r>
      <w:r w:rsidR="006A6D3B">
        <w:rPr>
          <w:b w:val="0"/>
          <w:bCs w:val="0"/>
        </w:rPr>
        <w:t xml:space="preserve"> has at times been </w:t>
      </w:r>
      <w:r w:rsidR="007F552B">
        <w:rPr>
          <w:b w:val="0"/>
          <w:bCs w:val="0"/>
        </w:rPr>
        <w:t>significant</w:t>
      </w:r>
      <w:r w:rsidR="006A6D3B">
        <w:rPr>
          <w:b w:val="0"/>
          <w:bCs w:val="0"/>
        </w:rPr>
        <w:t xml:space="preserve">. In FY </w:t>
      </w:r>
      <w:r w:rsidR="0049075B">
        <w:rPr>
          <w:b w:val="0"/>
          <w:bCs w:val="0"/>
        </w:rPr>
        <w:t>2025</w:t>
      </w:r>
      <w:r w:rsidR="00AB2E0A">
        <w:rPr>
          <w:b w:val="0"/>
          <w:bCs w:val="0"/>
        </w:rPr>
        <w:t xml:space="preserve">, </w:t>
      </w:r>
      <w:r w:rsidR="006A6D3B">
        <w:rPr>
          <w:b w:val="0"/>
          <w:bCs w:val="0"/>
        </w:rPr>
        <w:t>PCLOB returned $</w:t>
      </w:r>
      <w:r w:rsidR="00AB2E0A">
        <w:rPr>
          <w:b w:val="0"/>
          <w:bCs w:val="0"/>
        </w:rPr>
        <w:t>331,422</w:t>
      </w:r>
      <w:r w:rsidR="006B2B48">
        <w:rPr>
          <w:b w:val="0"/>
          <w:bCs w:val="0"/>
        </w:rPr>
        <w:t xml:space="preserve"> </w:t>
      </w:r>
      <w:r w:rsidR="006A6D3B">
        <w:rPr>
          <w:b w:val="0"/>
          <w:bCs w:val="0"/>
        </w:rPr>
        <w:t>of cancelled funds to Treasury</w:t>
      </w:r>
      <w:r w:rsidR="008E44B9">
        <w:rPr>
          <w:b w:val="0"/>
          <w:bCs w:val="0"/>
        </w:rPr>
        <w:t xml:space="preserve"> (see </w:t>
      </w:r>
      <w:hyperlink w:anchor="_NOTE_8_—" w:history="1">
        <w:r w:rsidR="008E44B9" w:rsidRPr="00155071">
          <w:rPr>
            <w:rStyle w:val="Hyperlink"/>
            <w:b w:val="0"/>
            <w:bCs w:val="0"/>
          </w:rPr>
          <w:t>Note 8</w:t>
        </w:r>
      </w:hyperlink>
      <w:r w:rsidR="008E44B9">
        <w:rPr>
          <w:b w:val="0"/>
          <w:bCs w:val="0"/>
        </w:rPr>
        <w:t>)</w:t>
      </w:r>
      <w:r w:rsidR="006A6D3B">
        <w:rPr>
          <w:b w:val="0"/>
          <w:bCs w:val="0"/>
        </w:rPr>
        <w:t xml:space="preserve">. </w:t>
      </w:r>
    </w:p>
    <w:p w14:paraId="67E0C789" w14:textId="034BAF3A" w:rsidR="00C60087" w:rsidRPr="00F82A7A" w:rsidRDefault="00C60087" w:rsidP="00C60087">
      <w:pPr>
        <w:pStyle w:val="Cambriabold"/>
        <w:spacing w:line="276" w:lineRule="auto"/>
      </w:pPr>
      <w:r w:rsidRPr="007707AC">
        <w:t>J.</w:t>
      </w:r>
      <w:r w:rsidR="00C408AB">
        <w:t xml:space="preserve"> </w:t>
      </w:r>
      <w:r w:rsidRPr="00F82A7A">
        <w:t>Advances and Prepayments</w:t>
      </w:r>
    </w:p>
    <w:p w14:paraId="3553B048" w14:textId="77777777" w:rsidR="00C60087" w:rsidRPr="007707AC" w:rsidRDefault="00C60087" w:rsidP="00C60087">
      <w:pPr>
        <w:pStyle w:val="Cambriabold"/>
        <w:spacing w:line="276" w:lineRule="auto"/>
        <w:rPr>
          <w:b w:val="0"/>
          <w:bCs w:val="0"/>
        </w:rPr>
      </w:pPr>
      <w:r w:rsidRPr="007707AC">
        <w:rPr>
          <w:b w:val="0"/>
          <w:bCs w:val="0"/>
        </w:rPr>
        <w:t xml:space="preserve">Advances are cash outlays made as required by reimbursable agreements to cover the </w:t>
      </w:r>
      <w:r w:rsidRPr="00F82A7A">
        <w:rPr>
          <w:b w:val="0"/>
          <w:bCs w:val="0"/>
        </w:rPr>
        <w:t>agency’s</w:t>
      </w:r>
      <w:r w:rsidRPr="007707AC">
        <w:rPr>
          <w:b w:val="0"/>
          <w:bCs w:val="0"/>
        </w:rPr>
        <w:t xml:space="preserve"> anticipated expenses or as advance payments for the costs of goods and services acquired by a contracted agency. Prepayments are payments made by PCLOB to cover certain periodic expenses before those expenses are incurred. </w:t>
      </w:r>
    </w:p>
    <w:p w14:paraId="669E8801" w14:textId="77777777" w:rsidR="00C60087" w:rsidRPr="007707AC" w:rsidRDefault="00C60087" w:rsidP="00C60087">
      <w:pPr>
        <w:pStyle w:val="Cambriabold"/>
        <w:spacing w:line="276" w:lineRule="auto"/>
        <w:rPr>
          <w:b w:val="0"/>
          <w:bCs w:val="0"/>
        </w:rPr>
      </w:pPr>
      <w:r w:rsidRPr="007707AC">
        <w:rPr>
          <w:b w:val="0"/>
          <w:bCs w:val="0"/>
        </w:rPr>
        <w:lastRenderedPageBreak/>
        <w:t>As goods and services are received, advanced and prepaid amounts are expensed. Any fees charged for related contracting services are considered administrative overhead costs and are expensed when paid.</w:t>
      </w:r>
    </w:p>
    <w:p w14:paraId="6AD48400" w14:textId="790F32BC" w:rsidR="00C60087" w:rsidRPr="00F82A7A" w:rsidRDefault="00C60087" w:rsidP="00C60087">
      <w:pPr>
        <w:pStyle w:val="Cambriabold"/>
        <w:spacing w:line="276" w:lineRule="auto"/>
      </w:pPr>
      <w:r w:rsidRPr="00F82A7A">
        <w:t>K. Property, Plant, and Equipment, Net</w:t>
      </w:r>
    </w:p>
    <w:p w14:paraId="75D8D494" w14:textId="3BF13A64" w:rsidR="00C60087" w:rsidRDefault="00C60087" w:rsidP="00C60087">
      <w:pPr>
        <w:pStyle w:val="Cambriabold"/>
        <w:spacing w:line="276" w:lineRule="auto"/>
        <w:rPr>
          <w:b w:val="0"/>
          <w:bCs w:val="0"/>
        </w:rPr>
      </w:pPr>
      <w:r w:rsidRPr="00671964">
        <w:rPr>
          <w:b w:val="0"/>
          <w:bCs w:val="0"/>
        </w:rPr>
        <w:t>Property, Plant</w:t>
      </w:r>
      <w:r w:rsidR="00335C43">
        <w:rPr>
          <w:b w:val="0"/>
          <w:bCs w:val="0"/>
        </w:rPr>
        <w:t>,</w:t>
      </w:r>
      <w:r w:rsidRPr="00671964">
        <w:rPr>
          <w:b w:val="0"/>
          <w:bCs w:val="0"/>
        </w:rPr>
        <w:t xml:space="preserve"> and Equipment </w:t>
      </w:r>
      <w:r w:rsidR="00DE2E23">
        <w:rPr>
          <w:b w:val="0"/>
          <w:bCs w:val="0"/>
        </w:rPr>
        <w:t>are</w:t>
      </w:r>
      <w:r w:rsidR="00DE2E23" w:rsidRPr="00671964">
        <w:rPr>
          <w:b w:val="0"/>
          <w:bCs w:val="0"/>
        </w:rPr>
        <w:t xml:space="preserve"> </w:t>
      </w:r>
      <w:r w:rsidRPr="00671964">
        <w:rPr>
          <w:b w:val="0"/>
          <w:bCs w:val="0"/>
        </w:rPr>
        <w:t>reported at acquisition cost and consist of items that are used by PCLOB to support its mission</w:t>
      </w:r>
      <w:r>
        <w:rPr>
          <w:b w:val="0"/>
          <w:bCs w:val="0"/>
        </w:rPr>
        <w:t xml:space="preserve">, such as </w:t>
      </w:r>
      <w:r w:rsidRPr="00AD6F2E">
        <w:rPr>
          <w:b w:val="0"/>
          <w:bCs w:val="0"/>
        </w:rPr>
        <w:t>furniture, fixtures, equipment, and information technology hardware and software</w:t>
      </w:r>
      <w:r w:rsidRPr="00671964">
        <w:rPr>
          <w:b w:val="0"/>
          <w:bCs w:val="0"/>
        </w:rPr>
        <w:t xml:space="preserve">. </w:t>
      </w:r>
      <w:r>
        <w:rPr>
          <w:b w:val="0"/>
          <w:bCs w:val="0"/>
        </w:rPr>
        <w:t xml:space="preserve">Acquisition cost includes </w:t>
      </w:r>
      <w:r w:rsidRPr="00AD6F2E">
        <w:rPr>
          <w:b w:val="0"/>
          <w:bCs w:val="0"/>
        </w:rPr>
        <w:t>all costs incurred to bring the item to a form and location suitable for its intended use (e.g., transportation, contract price, contract fee, installation/labor</w:t>
      </w:r>
      <w:r w:rsidR="004E28BC">
        <w:rPr>
          <w:b w:val="0"/>
          <w:bCs w:val="0"/>
        </w:rPr>
        <w:t>, etc.</w:t>
      </w:r>
      <w:r w:rsidRPr="00AD6F2E">
        <w:rPr>
          <w:b w:val="0"/>
          <w:bCs w:val="0"/>
        </w:rPr>
        <w:t xml:space="preserve">). </w:t>
      </w:r>
    </w:p>
    <w:p w14:paraId="1A603737" w14:textId="0AA36515" w:rsidR="00C60087" w:rsidRDefault="00C60087" w:rsidP="00C60087">
      <w:pPr>
        <w:pStyle w:val="Cambriabold"/>
        <w:spacing w:line="276" w:lineRule="auto"/>
        <w:rPr>
          <w:b w:val="0"/>
          <w:bCs w:val="0"/>
        </w:rPr>
      </w:pPr>
      <w:r w:rsidRPr="007707AC">
        <w:rPr>
          <w:b w:val="0"/>
          <w:bCs w:val="0"/>
        </w:rPr>
        <w:t xml:space="preserve">PCLOB’s capitalization threshold is $5,000 for individual purchases and bulk purchases. Property, equipment, and software acquisitions that do not meet the capitalization criteria are </w:t>
      </w:r>
      <w:proofErr w:type="gramStart"/>
      <w:r w:rsidRPr="007707AC">
        <w:rPr>
          <w:b w:val="0"/>
          <w:bCs w:val="0"/>
        </w:rPr>
        <w:t>expensed</w:t>
      </w:r>
      <w:proofErr w:type="gramEnd"/>
      <w:r w:rsidRPr="007707AC">
        <w:rPr>
          <w:b w:val="0"/>
          <w:bCs w:val="0"/>
        </w:rPr>
        <w:t xml:space="preserve"> upon receipt. Applicable standard governmental guidelines regulate the disposal and convertibility of agency property, equipment, and software. All property (real and personal) is in PCLOB’s possession and there is nothing held by others </w:t>
      </w:r>
      <w:r w:rsidRPr="00802A94">
        <w:rPr>
          <w:b w:val="0"/>
          <w:bCs w:val="0"/>
        </w:rPr>
        <w:t xml:space="preserve">(see </w:t>
      </w:r>
      <w:hyperlink w:anchor="_NOTE_3_–" w:history="1">
        <w:r w:rsidRPr="00AA113B">
          <w:rPr>
            <w:rStyle w:val="Hyperlink"/>
            <w:b w:val="0"/>
            <w:bCs w:val="0"/>
          </w:rPr>
          <w:t xml:space="preserve">Note </w:t>
        </w:r>
        <w:r w:rsidR="006B2B48" w:rsidRPr="00AA113B">
          <w:rPr>
            <w:rStyle w:val="Hyperlink"/>
            <w:b w:val="0"/>
            <w:bCs w:val="0"/>
          </w:rPr>
          <w:t>3</w:t>
        </w:r>
      </w:hyperlink>
      <w:r w:rsidRPr="00802A94">
        <w:rPr>
          <w:b w:val="0"/>
          <w:bCs w:val="0"/>
        </w:rPr>
        <w:t>).</w:t>
      </w:r>
    </w:p>
    <w:p w14:paraId="489ECB1C" w14:textId="461070CB" w:rsidR="007976ED" w:rsidRDefault="007976ED" w:rsidP="00502B1A">
      <w:pPr>
        <w:pStyle w:val="Cambriabold"/>
        <w:spacing w:line="276" w:lineRule="auto"/>
        <w:rPr>
          <w:b w:val="0"/>
          <w:bCs w:val="0"/>
        </w:rPr>
      </w:pPr>
      <w:r>
        <w:rPr>
          <w:b w:val="0"/>
          <w:bCs w:val="0"/>
        </w:rPr>
        <w:t xml:space="preserve">PCLOB </w:t>
      </w:r>
      <w:r w:rsidRPr="007976ED">
        <w:rPr>
          <w:b w:val="0"/>
          <w:bCs w:val="0"/>
        </w:rPr>
        <w:t>track</w:t>
      </w:r>
      <w:r>
        <w:rPr>
          <w:b w:val="0"/>
          <w:bCs w:val="0"/>
        </w:rPr>
        <w:t>s</w:t>
      </w:r>
      <w:r w:rsidRPr="007976ED">
        <w:rPr>
          <w:b w:val="0"/>
          <w:bCs w:val="0"/>
        </w:rPr>
        <w:t xml:space="preserve"> </w:t>
      </w:r>
      <w:r w:rsidR="0066742F" w:rsidRPr="007976ED">
        <w:rPr>
          <w:b w:val="0"/>
          <w:bCs w:val="0"/>
        </w:rPr>
        <w:t>costs of direct labor, direct material, and overhead incurred in the construction of real property for which the agency will be accountable</w:t>
      </w:r>
      <w:r w:rsidRPr="007976ED">
        <w:rPr>
          <w:b w:val="0"/>
          <w:bCs w:val="0"/>
        </w:rPr>
        <w:t xml:space="preserve"> during the design and </w:t>
      </w:r>
      <w:proofErr w:type="gramStart"/>
      <w:r w:rsidRPr="007976ED">
        <w:rPr>
          <w:b w:val="0"/>
          <w:bCs w:val="0"/>
        </w:rPr>
        <w:t>construction</w:t>
      </w:r>
      <w:proofErr w:type="gramEnd"/>
      <w:r w:rsidRPr="007976ED">
        <w:rPr>
          <w:b w:val="0"/>
          <w:bCs w:val="0"/>
        </w:rPr>
        <w:t xml:space="preserve">/development of </w:t>
      </w:r>
      <w:r>
        <w:rPr>
          <w:b w:val="0"/>
          <w:bCs w:val="0"/>
        </w:rPr>
        <w:t>acquired property, plant and equipment as construction in progress</w:t>
      </w:r>
      <w:r w:rsidR="0066742F">
        <w:rPr>
          <w:b w:val="0"/>
          <w:bCs w:val="0"/>
        </w:rPr>
        <w:t xml:space="preserve">. These </w:t>
      </w:r>
      <w:r w:rsidRPr="007976ED">
        <w:rPr>
          <w:b w:val="0"/>
          <w:bCs w:val="0"/>
        </w:rPr>
        <w:t xml:space="preserve">costs remain </w:t>
      </w:r>
      <w:r w:rsidR="0066742F">
        <w:rPr>
          <w:b w:val="0"/>
          <w:bCs w:val="0"/>
        </w:rPr>
        <w:t xml:space="preserve">in the construction in progress </w:t>
      </w:r>
      <w:r w:rsidRPr="007976ED">
        <w:rPr>
          <w:b w:val="0"/>
          <w:bCs w:val="0"/>
        </w:rPr>
        <w:t>general ledger account until the</w:t>
      </w:r>
      <w:r w:rsidR="0066742F">
        <w:rPr>
          <w:b w:val="0"/>
          <w:bCs w:val="0"/>
        </w:rPr>
        <w:t xml:space="preserve"> asset</w:t>
      </w:r>
      <w:r w:rsidRPr="007976ED">
        <w:rPr>
          <w:b w:val="0"/>
          <w:bCs w:val="0"/>
        </w:rPr>
        <w:t xml:space="preserve"> is accepted by </w:t>
      </w:r>
      <w:r w:rsidR="0066742F">
        <w:rPr>
          <w:b w:val="0"/>
          <w:bCs w:val="0"/>
        </w:rPr>
        <w:t>the agency</w:t>
      </w:r>
      <w:r w:rsidRPr="007976ED">
        <w:rPr>
          <w:b w:val="0"/>
          <w:bCs w:val="0"/>
        </w:rPr>
        <w:t xml:space="preserve"> and placed in service. Upon completion, these costs will be transferred to the proper capital asset account as the acquisition cost of the item.</w:t>
      </w:r>
    </w:p>
    <w:p w14:paraId="7832FFC9" w14:textId="70CFCF59" w:rsidR="00C60087" w:rsidRDefault="00073642" w:rsidP="00AA05E1">
      <w:pPr>
        <w:pStyle w:val="Cambriabold"/>
        <w:spacing w:line="276" w:lineRule="auto"/>
        <w:rPr>
          <w:b w:val="0"/>
          <w:bCs w:val="0"/>
          <w:i/>
        </w:rPr>
      </w:pPr>
      <w:r w:rsidRPr="00073642">
        <w:rPr>
          <w:b w:val="0"/>
          <w:bCs w:val="0"/>
          <w:i/>
          <w:noProof/>
        </w:rPr>
        <w:drawing>
          <wp:anchor distT="0" distB="0" distL="114300" distR="114300" simplePos="0" relativeHeight="252201472" behindDoc="0" locked="0" layoutInCell="1" allowOverlap="1" wp14:anchorId="67611369" wp14:editId="7DF9975D">
            <wp:simplePos x="0" y="0"/>
            <wp:positionH relativeFrom="column">
              <wp:posOffset>1508760</wp:posOffset>
            </wp:positionH>
            <wp:positionV relativeFrom="paragraph">
              <wp:posOffset>720706</wp:posOffset>
            </wp:positionV>
            <wp:extent cx="2937510" cy="1223010"/>
            <wp:effectExtent l="0" t="0" r="0" b="0"/>
            <wp:wrapTopAndBottom/>
            <wp:docPr id="123209022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37510" cy="1223010"/>
                    </a:xfrm>
                    <a:prstGeom prst="rect">
                      <a:avLst/>
                    </a:prstGeom>
                    <a:noFill/>
                    <a:ln>
                      <a:noFill/>
                    </a:ln>
                  </pic:spPr>
                </pic:pic>
              </a:graphicData>
            </a:graphic>
          </wp:anchor>
        </w:drawing>
      </w:r>
      <w:r w:rsidR="00C60087" w:rsidRPr="00671964">
        <w:rPr>
          <w:b w:val="0"/>
          <w:bCs w:val="0"/>
        </w:rPr>
        <w:t xml:space="preserve">Depreciation or amortization on </w:t>
      </w:r>
      <w:r w:rsidR="00C60087">
        <w:rPr>
          <w:b w:val="0"/>
          <w:bCs w:val="0"/>
        </w:rPr>
        <w:t>PCLOB’s</w:t>
      </w:r>
      <w:r w:rsidR="00C60087" w:rsidRPr="00671964">
        <w:rPr>
          <w:b w:val="0"/>
          <w:bCs w:val="0"/>
        </w:rPr>
        <w:t xml:space="preserve"> assets is calculated using the straight-line method with zero salvage value. Depreciation or amortization of an asset begins the day it is placed in service. </w:t>
      </w:r>
      <w:r w:rsidR="00C60087" w:rsidRPr="00172074">
        <w:rPr>
          <w:b w:val="0"/>
          <w:bCs w:val="0"/>
        </w:rPr>
        <w:t>The useful life classifications for capitalized assets are as follows:</w:t>
      </w:r>
      <w:r w:rsidR="00C60087" w:rsidRPr="00AD6F2E">
        <w:rPr>
          <w:b w:val="0"/>
          <w:bCs w:val="0"/>
          <w:i/>
        </w:rPr>
        <w:t xml:space="preserve"> </w:t>
      </w:r>
    </w:p>
    <w:p w14:paraId="578BB4CF" w14:textId="76F1DBF3" w:rsidR="00C60087" w:rsidRPr="007707AC" w:rsidRDefault="00C60087" w:rsidP="00502B1A">
      <w:pPr>
        <w:pStyle w:val="Cambriabold"/>
        <w:spacing w:line="276" w:lineRule="auto"/>
        <w:rPr>
          <w:b w:val="0"/>
          <w:bCs w:val="0"/>
          <w:iCs/>
        </w:rPr>
      </w:pPr>
      <w:r w:rsidRPr="00671964">
        <w:rPr>
          <w:b w:val="0"/>
          <w:bCs w:val="0"/>
        </w:rPr>
        <w:t>Maintenance, repairs, and minor renovations are expensed as incurred. Expenditures that materially increase the value, capacity, or useful life of existing assets are capitalized</w:t>
      </w:r>
      <w:r w:rsidR="00335C43">
        <w:rPr>
          <w:b w:val="0"/>
          <w:bCs w:val="0"/>
        </w:rPr>
        <w:t xml:space="preserve"> (s</w:t>
      </w:r>
      <w:r w:rsidRPr="00671964">
        <w:rPr>
          <w:b w:val="0"/>
          <w:bCs w:val="0"/>
        </w:rPr>
        <w:t xml:space="preserve">ee </w:t>
      </w:r>
      <w:hyperlink w:anchor="_NOTE_3_—" w:history="1">
        <w:r w:rsidRPr="00155071">
          <w:rPr>
            <w:rStyle w:val="Hyperlink"/>
            <w:b w:val="0"/>
            <w:bCs w:val="0"/>
          </w:rPr>
          <w:t xml:space="preserve">Note </w:t>
        </w:r>
        <w:r w:rsidR="00335C43" w:rsidRPr="00155071">
          <w:rPr>
            <w:rStyle w:val="Hyperlink"/>
            <w:b w:val="0"/>
            <w:bCs w:val="0"/>
          </w:rPr>
          <w:t>3</w:t>
        </w:r>
      </w:hyperlink>
      <w:r w:rsidR="00335C43">
        <w:rPr>
          <w:b w:val="0"/>
          <w:bCs w:val="0"/>
        </w:rPr>
        <w:t>)</w:t>
      </w:r>
      <w:r>
        <w:rPr>
          <w:b w:val="0"/>
          <w:bCs w:val="0"/>
        </w:rPr>
        <w:t>.</w:t>
      </w:r>
    </w:p>
    <w:p w14:paraId="25A44D88" w14:textId="7EED5259" w:rsidR="00C60087" w:rsidRPr="0042313B" w:rsidRDefault="00C60087" w:rsidP="00502B1A">
      <w:pPr>
        <w:pStyle w:val="Cambriabold"/>
        <w:keepNext/>
        <w:keepLines/>
        <w:spacing w:before="0" w:line="276" w:lineRule="auto"/>
        <w:rPr>
          <w:iCs/>
        </w:rPr>
      </w:pPr>
      <w:r w:rsidRPr="0042313B">
        <w:lastRenderedPageBreak/>
        <w:t xml:space="preserve">L. </w:t>
      </w:r>
      <w:r w:rsidR="00335C43" w:rsidRPr="0042313B">
        <w:t xml:space="preserve">Accounts Payable and </w:t>
      </w:r>
      <w:r w:rsidRPr="0042313B">
        <w:rPr>
          <w:iCs/>
        </w:rPr>
        <w:t>Liabilities</w:t>
      </w:r>
    </w:p>
    <w:p w14:paraId="2B3F1633" w14:textId="1D8350E9" w:rsidR="00C60087" w:rsidRPr="0042313B" w:rsidRDefault="00C60087" w:rsidP="00502B1A">
      <w:pPr>
        <w:pStyle w:val="Cambriabold"/>
        <w:keepNext/>
        <w:keepLines/>
        <w:spacing w:line="276" w:lineRule="auto"/>
        <w:rPr>
          <w:b w:val="0"/>
          <w:bCs w:val="0"/>
        </w:rPr>
      </w:pPr>
      <w:r w:rsidRPr="0042313B">
        <w:rPr>
          <w:b w:val="0"/>
          <w:bCs w:val="0"/>
        </w:rPr>
        <w:t xml:space="preserve">Liabilities represent probable and measurable future outflows of resources </w:t>
      </w:r>
      <w:proofErr w:type="gramStart"/>
      <w:r w:rsidRPr="0042313B">
        <w:rPr>
          <w:b w:val="0"/>
          <w:bCs w:val="0"/>
        </w:rPr>
        <w:t>as a result of</w:t>
      </w:r>
      <w:proofErr w:type="gramEnd"/>
      <w:r w:rsidRPr="0042313B">
        <w:rPr>
          <w:b w:val="0"/>
          <w:bCs w:val="0"/>
        </w:rPr>
        <w:t xml:space="preserve"> past transactions or events and are recognized when incurred, regardless of whether there are budgetary resources available to pay the liabilities. However, liabilities cannot be liquidated without legislation providing resources and legal authority.</w:t>
      </w:r>
    </w:p>
    <w:p w14:paraId="2E437A6B" w14:textId="2B29C9FB" w:rsidR="00C60087" w:rsidRPr="0042313B" w:rsidRDefault="00C60087" w:rsidP="0066742F">
      <w:pPr>
        <w:pStyle w:val="Cambriabold"/>
        <w:keepNext/>
        <w:keepLines/>
        <w:spacing w:line="276" w:lineRule="auto"/>
        <w:rPr>
          <w:b w:val="0"/>
          <w:bCs w:val="0"/>
        </w:rPr>
      </w:pPr>
      <w:r w:rsidRPr="0042313B">
        <w:rPr>
          <w:b w:val="0"/>
          <w:bCs w:val="0"/>
        </w:rPr>
        <w:t>Liabilities covered by budgetary resources include those liabilities for which Congress appropriated funds and are otherwise available to pay amounts due as of the Balance Sheet date. Liabilities not covered by budgetary resources are amounts owed in excess of available, congressionally appropriated funds and, therefore, no budgetary resources are available to pay amounts due as of the Balance Sheet date but will require future funding to liquidate the obligation</w:t>
      </w:r>
      <w:r w:rsidR="00335C43" w:rsidRPr="0042313B">
        <w:rPr>
          <w:b w:val="0"/>
          <w:bCs w:val="0"/>
        </w:rPr>
        <w:t xml:space="preserve"> (see </w:t>
      </w:r>
      <w:hyperlink w:anchor="_NOTE_4_—" w:history="1">
        <w:r w:rsidRPr="00155071">
          <w:rPr>
            <w:rStyle w:val="Hyperlink"/>
            <w:b w:val="0"/>
            <w:bCs w:val="0"/>
          </w:rPr>
          <w:t xml:space="preserve">Note </w:t>
        </w:r>
        <w:r w:rsidR="00FB37ED" w:rsidRPr="00155071">
          <w:rPr>
            <w:rStyle w:val="Hyperlink"/>
            <w:b w:val="0"/>
            <w:bCs w:val="0"/>
          </w:rPr>
          <w:t>4</w:t>
        </w:r>
      </w:hyperlink>
      <w:r w:rsidR="00335C43" w:rsidRPr="0042313B">
        <w:rPr>
          <w:b w:val="0"/>
          <w:bCs w:val="0"/>
        </w:rPr>
        <w:t>)</w:t>
      </w:r>
      <w:r w:rsidRPr="0042313B">
        <w:rPr>
          <w:b w:val="0"/>
          <w:bCs w:val="0"/>
        </w:rPr>
        <w:t>.</w:t>
      </w:r>
    </w:p>
    <w:p w14:paraId="6DBC372E" w14:textId="3AB261BB" w:rsidR="00C60087" w:rsidRPr="0042313B" w:rsidRDefault="00C60087" w:rsidP="0066742F">
      <w:pPr>
        <w:pStyle w:val="Cambriabold"/>
        <w:keepNext/>
        <w:keepLines/>
        <w:spacing w:line="276" w:lineRule="auto"/>
        <w:rPr>
          <w:b w:val="0"/>
          <w:bCs w:val="0"/>
        </w:rPr>
      </w:pPr>
      <w:r w:rsidRPr="0042313B">
        <w:rPr>
          <w:b w:val="0"/>
          <w:bCs w:val="0"/>
        </w:rPr>
        <w:t xml:space="preserve">Liabilities that do not require the use of budgetary resources are referred to as liabilities not requiring budgetary resources. </w:t>
      </w:r>
    </w:p>
    <w:p w14:paraId="689DD785" w14:textId="2D9FCB18" w:rsidR="00C60087" w:rsidRPr="0042313B" w:rsidRDefault="00C60087" w:rsidP="00FB37ED">
      <w:pPr>
        <w:pStyle w:val="Cambriabold"/>
        <w:keepNext/>
        <w:keepLines/>
        <w:spacing w:line="276" w:lineRule="auto"/>
        <w:rPr>
          <w:b w:val="0"/>
          <w:bCs w:val="0"/>
        </w:rPr>
      </w:pPr>
      <w:r w:rsidRPr="0042313B">
        <w:rPr>
          <w:b w:val="0"/>
          <w:bCs w:val="0"/>
        </w:rPr>
        <w:t xml:space="preserve">PCLOB discloses its other liabilities between current and noncurrent liabilities in accordance with SFFAS 1, </w:t>
      </w:r>
      <w:r w:rsidRPr="0042313B">
        <w:rPr>
          <w:b w:val="0"/>
          <w:bCs w:val="0"/>
          <w:i/>
          <w:iCs/>
        </w:rPr>
        <w:t>Accounting for Selected Assets and Liabilities.</w:t>
      </w:r>
      <w:r w:rsidRPr="0042313B">
        <w:rPr>
          <w:b w:val="0"/>
          <w:bCs w:val="0"/>
        </w:rPr>
        <w:t xml:space="preserve"> The current liabilities represent liabilities that the agency expects to settle within the 12 months of the Balance Sheet date, while noncurrent liabilities represent liabilities that PCLOB does not expect to be settled within the 12 months of the Balance Sheet </w:t>
      </w:r>
      <w:proofErr w:type="spellStart"/>
      <w:r w:rsidRPr="0042313B">
        <w:rPr>
          <w:b w:val="0"/>
          <w:bCs w:val="0"/>
        </w:rPr>
        <w:t>date</w:t>
      </w:r>
      <w:proofErr w:type="spellEnd"/>
      <w:r w:rsidRPr="0042313B">
        <w:rPr>
          <w:b w:val="0"/>
          <w:bCs w:val="0"/>
        </w:rPr>
        <w:t xml:space="preserve"> (refer to </w:t>
      </w:r>
      <w:hyperlink w:anchor="_NOTE_5_—" w:history="1">
        <w:r w:rsidRPr="00155071">
          <w:rPr>
            <w:rStyle w:val="Hyperlink"/>
            <w:b w:val="0"/>
            <w:bCs w:val="0"/>
          </w:rPr>
          <w:t xml:space="preserve">Note </w:t>
        </w:r>
        <w:r w:rsidR="00335C43" w:rsidRPr="00155071">
          <w:rPr>
            <w:rStyle w:val="Hyperlink"/>
            <w:b w:val="0"/>
            <w:bCs w:val="0"/>
          </w:rPr>
          <w:t>5</w:t>
        </w:r>
      </w:hyperlink>
      <w:r w:rsidRPr="0042313B">
        <w:rPr>
          <w:b w:val="0"/>
          <w:bCs w:val="0"/>
        </w:rPr>
        <w:t>).</w:t>
      </w:r>
    </w:p>
    <w:p w14:paraId="0A61F43E" w14:textId="77777777" w:rsidR="00C60087" w:rsidRPr="0042313B" w:rsidRDefault="00C60087" w:rsidP="00C60087">
      <w:pPr>
        <w:pStyle w:val="Cambriabold"/>
        <w:spacing w:line="276" w:lineRule="auto"/>
        <w:rPr>
          <w:b w:val="0"/>
          <w:bCs w:val="0"/>
        </w:rPr>
      </w:pPr>
      <w:r w:rsidRPr="0042313B">
        <w:rPr>
          <w:b w:val="0"/>
          <w:bCs w:val="0"/>
        </w:rPr>
        <w:t>Accounts payable includes amounts owed but not yet paid to Intragovernmental and Other than Intragovernmental entities for goods and services received by the agency. PCLOB estimates and records accruals when services and goods are performed or received.</w:t>
      </w:r>
    </w:p>
    <w:p w14:paraId="33962846" w14:textId="77777777" w:rsidR="00583DE0" w:rsidRPr="0042313B" w:rsidRDefault="00C60087" w:rsidP="00C60087">
      <w:pPr>
        <w:pStyle w:val="Cambriabold"/>
        <w:spacing w:line="276" w:lineRule="auto"/>
        <w:rPr>
          <w:iCs/>
        </w:rPr>
      </w:pPr>
      <w:r w:rsidRPr="0042313B">
        <w:rPr>
          <w:iCs/>
        </w:rPr>
        <w:t>M.</w:t>
      </w:r>
      <w:r w:rsidR="00583DE0" w:rsidRPr="0042313B">
        <w:rPr>
          <w:iCs/>
        </w:rPr>
        <w:t xml:space="preserve"> Lease Liabilities</w:t>
      </w:r>
    </w:p>
    <w:p w14:paraId="0D5DB4FE" w14:textId="25E32BC2" w:rsidR="00583DE0" w:rsidRPr="0042313B" w:rsidRDefault="00583DE0" w:rsidP="00583DE0">
      <w:pPr>
        <w:pStyle w:val="CV16Normal"/>
        <w:spacing w:before="240" w:after="160" w:line="276" w:lineRule="auto"/>
        <w:jc w:val="both"/>
        <w:rPr>
          <w:rFonts w:ascii="Cambria" w:hAnsi="Cambria"/>
          <w:sz w:val="24"/>
          <w:szCs w:val="24"/>
        </w:rPr>
      </w:pPr>
      <w:r w:rsidRPr="0042313B">
        <w:rPr>
          <w:rFonts w:ascii="Cambria" w:hAnsi="Cambria"/>
          <w:sz w:val="24"/>
          <w:szCs w:val="24"/>
        </w:rPr>
        <w:t xml:space="preserve">PCLOB performs an assessment of all arrangements which meet the definition of a lease to determine the proper recognition of lease activities, in accordance with SFFAS 54, </w:t>
      </w:r>
      <w:r w:rsidRPr="0042313B">
        <w:rPr>
          <w:rFonts w:ascii="Cambria" w:hAnsi="Cambria"/>
          <w:i/>
          <w:iCs/>
          <w:sz w:val="24"/>
          <w:szCs w:val="24"/>
        </w:rPr>
        <w:t>Leases</w:t>
      </w:r>
      <w:r w:rsidRPr="0042313B">
        <w:rPr>
          <w:rFonts w:ascii="Cambria" w:hAnsi="Cambria"/>
          <w:sz w:val="24"/>
          <w:szCs w:val="24"/>
        </w:rPr>
        <w:t>. PCLOB expenses all intragovernmental leases and leases with terms of 24 months or less. In FY 2025, the agency had no other types of lease arrangements.</w:t>
      </w:r>
      <w:r w:rsidR="00155071">
        <w:rPr>
          <w:rFonts w:ascii="Cambria" w:hAnsi="Cambria"/>
          <w:sz w:val="24"/>
          <w:szCs w:val="24"/>
        </w:rPr>
        <w:t xml:space="preserve"> Refer to </w:t>
      </w:r>
      <w:hyperlink w:anchor="_NOTE_6_—" w:history="1">
        <w:r w:rsidR="00155071" w:rsidRPr="00155071">
          <w:rPr>
            <w:rStyle w:val="Hyperlink"/>
            <w:rFonts w:ascii="Cambria" w:hAnsi="Cambria"/>
            <w:sz w:val="24"/>
            <w:szCs w:val="24"/>
          </w:rPr>
          <w:t>Note 6</w:t>
        </w:r>
      </w:hyperlink>
      <w:r w:rsidR="00155071">
        <w:rPr>
          <w:rFonts w:ascii="Cambria" w:hAnsi="Cambria"/>
          <w:sz w:val="24"/>
          <w:szCs w:val="24"/>
        </w:rPr>
        <w:t xml:space="preserve"> for additional information.</w:t>
      </w:r>
    </w:p>
    <w:p w14:paraId="08BC7B57" w14:textId="4DF576B0" w:rsidR="0035516F" w:rsidRPr="0042313B" w:rsidRDefault="0035516F" w:rsidP="00C60087">
      <w:pPr>
        <w:pStyle w:val="Cambriabold"/>
        <w:spacing w:line="276" w:lineRule="auto"/>
        <w:rPr>
          <w:iCs/>
        </w:rPr>
      </w:pPr>
      <w:r w:rsidRPr="0042313B">
        <w:rPr>
          <w:iCs/>
        </w:rPr>
        <w:t>N. Contingent Liabilities</w:t>
      </w:r>
    </w:p>
    <w:p w14:paraId="2D87FE47" w14:textId="0B6AEC8D" w:rsidR="0035516F" w:rsidRPr="0042313B" w:rsidRDefault="0035516F" w:rsidP="00C60087">
      <w:pPr>
        <w:pStyle w:val="Cambriabold"/>
        <w:spacing w:line="276" w:lineRule="auto"/>
        <w:rPr>
          <w:b w:val="0"/>
          <w:bCs w:val="0"/>
          <w:iCs/>
        </w:rPr>
      </w:pPr>
      <w:r w:rsidRPr="0042313B">
        <w:rPr>
          <w:b w:val="0"/>
          <w:bCs w:val="0"/>
          <w:iCs/>
        </w:rPr>
        <w:t xml:space="preserve">Contingent liabilities are liabilities that may be incurred by PCLOB depending on the outcome of an uncertain future event, such as pending litigation. Contingencies are classiﬁed into three categories: probable, reasonably possible, and remote. A contingency is considered probable when the future conﬁrming events are likely to occur. Probable </w:t>
      </w:r>
      <w:r w:rsidRPr="0042313B">
        <w:rPr>
          <w:b w:val="0"/>
          <w:bCs w:val="0"/>
          <w:iCs/>
        </w:rPr>
        <w:lastRenderedPageBreak/>
        <w:t>contingent liabilities are recognized by PCLOB in the ﬁnancial statements provided the amount can be reasonably estimated</w:t>
      </w:r>
      <w:r w:rsidR="0017679B">
        <w:rPr>
          <w:b w:val="0"/>
          <w:bCs w:val="0"/>
          <w:iCs/>
        </w:rPr>
        <w:t xml:space="preserve"> (refer to </w:t>
      </w:r>
      <w:hyperlink w:anchor="_NOTE_5_—" w:history="1">
        <w:r w:rsidR="0017679B" w:rsidRPr="00155071">
          <w:rPr>
            <w:rStyle w:val="Hyperlink"/>
            <w:b w:val="0"/>
            <w:bCs w:val="0"/>
            <w:iCs/>
          </w:rPr>
          <w:t>Note 5</w:t>
        </w:r>
      </w:hyperlink>
      <w:r w:rsidR="0017679B">
        <w:rPr>
          <w:b w:val="0"/>
          <w:bCs w:val="0"/>
          <w:iCs/>
        </w:rPr>
        <w:t>)</w:t>
      </w:r>
      <w:r w:rsidRPr="0042313B">
        <w:rPr>
          <w:b w:val="0"/>
          <w:bCs w:val="0"/>
          <w:iCs/>
        </w:rPr>
        <w:t>. Contingencies are reasonably possible when the chance of the future conﬁrming event occurring is more than remote but less than probable. Reasonably possible contingencies are disclosed by PCLOB in the notes to the ﬁnancial statements, as well as probable contingencies that cannot reasonably be estimated. Remote contingencies are not recognized in the ﬁnancial statements or disclosed in the notes to the ﬁnancial statements</w:t>
      </w:r>
      <w:r w:rsidR="0017679B">
        <w:rPr>
          <w:b w:val="0"/>
          <w:bCs w:val="0"/>
          <w:iCs/>
        </w:rPr>
        <w:t>.</w:t>
      </w:r>
    </w:p>
    <w:p w14:paraId="6AE3A9B7" w14:textId="51BBC6E1" w:rsidR="00C60087" w:rsidRPr="0042313B" w:rsidRDefault="0035516F" w:rsidP="00C60087">
      <w:pPr>
        <w:pStyle w:val="Cambriabold"/>
        <w:spacing w:line="276" w:lineRule="auto"/>
        <w:rPr>
          <w:iCs/>
        </w:rPr>
      </w:pPr>
      <w:r w:rsidRPr="0042313B">
        <w:rPr>
          <w:iCs/>
        </w:rPr>
        <w:t>O</w:t>
      </w:r>
      <w:r w:rsidR="00583DE0" w:rsidRPr="0042313B">
        <w:rPr>
          <w:iCs/>
        </w:rPr>
        <w:t xml:space="preserve">. </w:t>
      </w:r>
      <w:r w:rsidR="00C60087" w:rsidRPr="0042313B">
        <w:rPr>
          <w:iCs/>
        </w:rPr>
        <w:t>Net Position</w:t>
      </w:r>
    </w:p>
    <w:p w14:paraId="3AF2BE5A" w14:textId="77777777" w:rsidR="00C60087" w:rsidRPr="0042313B" w:rsidRDefault="00C60087" w:rsidP="00C60087">
      <w:pPr>
        <w:pStyle w:val="Cambriabold"/>
        <w:spacing w:line="276" w:lineRule="auto"/>
        <w:rPr>
          <w:b w:val="0"/>
          <w:bCs w:val="0"/>
        </w:rPr>
      </w:pPr>
      <w:r w:rsidRPr="0042313B">
        <w:rPr>
          <w:b w:val="0"/>
          <w:bCs w:val="0"/>
        </w:rPr>
        <w:t xml:space="preserve">Net position consists of unexpended appropriations and cumulative results of operations. Unexpended appropriations represent amounts of budget authority to include unobligated or obligated balances not rescinded or withdrawn. Cumulative results of operations are comprised of the following: (1) the difference between revenues and expenses, (2) the net amount of transfers of assets in and out without reimbursement, and (3) other funding sources since inception.  </w:t>
      </w:r>
    </w:p>
    <w:p w14:paraId="0D7D59B1" w14:textId="4C92AA43" w:rsidR="00C60087" w:rsidRPr="0042313B" w:rsidRDefault="0035516F" w:rsidP="00C60087">
      <w:pPr>
        <w:pStyle w:val="Cambriabold"/>
        <w:keepNext/>
        <w:keepLines/>
        <w:spacing w:line="276" w:lineRule="auto"/>
        <w:rPr>
          <w:i/>
        </w:rPr>
      </w:pPr>
      <w:r w:rsidRPr="0042313B">
        <w:t>P</w:t>
      </w:r>
      <w:r w:rsidR="00C60087" w:rsidRPr="0042313B">
        <w:t>. Classified Activities</w:t>
      </w:r>
    </w:p>
    <w:p w14:paraId="48DA54AA" w14:textId="6B48D3EE" w:rsidR="00FB37ED" w:rsidRPr="0042313B" w:rsidRDefault="00C60087" w:rsidP="00535471">
      <w:pPr>
        <w:jc w:val="both"/>
        <w:rPr>
          <w:rFonts w:ascii="Cambria" w:hAnsi="Cambria"/>
          <w:sz w:val="24"/>
          <w:szCs w:val="24"/>
        </w:rPr>
      </w:pPr>
      <w:r w:rsidRPr="0042313B">
        <w:rPr>
          <w:rFonts w:ascii="Cambria" w:hAnsi="Cambria"/>
          <w:sz w:val="24"/>
          <w:szCs w:val="24"/>
        </w:rPr>
        <w:t>Accounting standards require all reporting entities to disclose that accounting standards allow certain presentations and disclosures to be modified, if needed, to prevent the disclosure of classified information.</w:t>
      </w:r>
    </w:p>
    <w:p w14:paraId="5A98E645" w14:textId="6B62A4FE" w:rsidR="00C60087" w:rsidRPr="0042313B" w:rsidRDefault="00C60087" w:rsidP="00C60087">
      <w:pPr>
        <w:pStyle w:val="Heading4"/>
      </w:pPr>
      <w:bookmarkStart w:id="113" w:name="_NOTE_2_–"/>
      <w:bookmarkEnd w:id="113"/>
      <w:r w:rsidRPr="0042313B">
        <w:t xml:space="preserve">NOTE 2 </w:t>
      </w:r>
      <w:bookmarkStart w:id="114" w:name="_Hlk149378150"/>
      <w:r w:rsidR="00B82E76">
        <w:t>—</w:t>
      </w:r>
      <w:r w:rsidR="00B82E76" w:rsidRPr="0042313B">
        <w:t xml:space="preserve"> </w:t>
      </w:r>
      <w:r w:rsidRPr="0042313B">
        <w:t>FUND BALANCE WITH TREASURY</w:t>
      </w:r>
      <w:bookmarkEnd w:id="114"/>
    </w:p>
    <w:p w14:paraId="36C6B9F6" w14:textId="663F31DB" w:rsidR="00C60087" w:rsidRPr="0042313B" w:rsidRDefault="00C60087" w:rsidP="00C60087">
      <w:pPr>
        <w:pStyle w:val="BodyText3"/>
        <w:keepNext/>
        <w:keepLines/>
        <w:spacing w:after="240" w:line="276" w:lineRule="auto"/>
        <w:rPr>
          <w:rFonts w:ascii="Cambria" w:hAnsi="Cambria"/>
        </w:rPr>
      </w:pPr>
      <w:r w:rsidRPr="0042313B">
        <w:rPr>
          <w:rFonts w:ascii="Cambria" w:hAnsi="Cambria"/>
        </w:rPr>
        <w:t xml:space="preserve">Fund Balance with Treasury account balance as of September 30, </w:t>
      </w:r>
      <w:r w:rsidR="0049075B" w:rsidRPr="0042313B">
        <w:rPr>
          <w:rFonts w:ascii="Cambria" w:hAnsi="Cambria"/>
        </w:rPr>
        <w:t>2025</w:t>
      </w:r>
      <w:r w:rsidR="00DF5CEF" w:rsidRPr="0042313B">
        <w:rPr>
          <w:rFonts w:ascii="Cambria" w:hAnsi="Cambria"/>
        </w:rPr>
        <w:t>,</w:t>
      </w:r>
      <w:r w:rsidRPr="0042313B">
        <w:rPr>
          <w:rFonts w:ascii="Cambria" w:hAnsi="Cambria"/>
        </w:rPr>
        <w:t xml:space="preserve"> </w:t>
      </w:r>
      <w:r w:rsidR="00D45EFB" w:rsidRPr="0042313B">
        <w:rPr>
          <w:rFonts w:ascii="Cambria" w:hAnsi="Cambria"/>
        </w:rPr>
        <w:t>was</w:t>
      </w:r>
      <w:r w:rsidRPr="0042313B">
        <w:rPr>
          <w:rFonts w:ascii="Cambria" w:hAnsi="Cambria"/>
        </w:rPr>
        <w:t xml:space="preserve"> as follows:</w:t>
      </w:r>
      <w:r w:rsidR="008E2ABE" w:rsidRPr="0042313B">
        <w:rPr>
          <w:rFonts w:ascii="Cambria" w:hAnsi="Cambria"/>
          <w:noProof/>
        </w:rPr>
        <w:t xml:space="preserve"> </w:t>
      </w:r>
    </w:p>
    <w:p w14:paraId="4C27FDBC" w14:textId="1F2406E9" w:rsidR="008E2ABE" w:rsidRPr="0042313B" w:rsidRDefault="00F73E85" w:rsidP="00210A53">
      <w:pPr>
        <w:pStyle w:val="BodyText3"/>
        <w:spacing w:before="240" w:line="276" w:lineRule="auto"/>
        <w:jc w:val="center"/>
        <w:rPr>
          <w:rFonts w:ascii="Cambria" w:hAnsi="Cambria"/>
        </w:rPr>
      </w:pPr>
      <w:r w:rsidRPr="00F73E85">
        <w:rPr>
          <w:rFonts w:ascii="Cambria" w:hAnsi="Cambria"/>
          <w:noProof/>
        </w:rPr>
        <w:drawing>
          <wp:inline distT="0" distB="0" distL="0" distR="0" wp14:anchorId="4860BA31" wp14:editId="3E35A8A4">
            <wp:extent cx="5943600" cy="1305560"/>
            <wp:effectExtent l="0" t="0" r="0" b="0"/>
            <wp:docPr id="12845860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305560"/>
                    </a:xfrm>
                    <a:prstGeom prst="rect">
                      <a:avLst/>
                    </a:prstGeom>
                    <a:noFill/>
                    <a:ln>
                      <a:noFill/>
                    </a:ln>
                  </pic:spPr>
                </pic:pic>
              </a:graphicData>
            </a:graphic>
          </wp:inline>
        </w:drawing>
      </w:r>
    </w:p>
    <w:p w14:paraId="00D8E47E" w14:textId="7EA999EA" w:rsidR="00C60087" w:rsidRPr="0042313B" w:rsidRDefault="00C60087" w:rsidP="008E2ABE">
      <w:pPr>
        <w:pStyle w:val="BodyText3"/>
        <w:spacing w:line="276" w:lineRule="auto"/>
        <w:rPr>
          <w:rFonts w:ascii="Cambria" w:hAnsi="Cambria"/>
        </w:rPr>
      </w:pPr>
      <w:r w:rsidRPr="0042313B">
        <w:rPr>
          <w:rFonts w:ascii="Cambria" w:hAnsi="Cambria"/>
        </w:rPr>
        <w:t xml:space="preserve">No discrepancies exist between the </w:t>
      </w:r>
      <w:proofErr w:type="spellStart"/>
      <w:r w:rsidRPr="0042313B">
        <w:rPr>
          <w:rFonts w:ascii="Cambria" w:hAnsi="Cambria"/>
        </w:rPr>
        <w:t>FBwT</w:t>
      </w:r>
      <w:proofErr w:type="spellEnd"/>
      <w:r w:rsidRPr="0042313B">
        <w:rPr>
          <w:rFonts w:ascii="Cambria" w:hAnsi="Cambria"/>
        </w:rPr>
        <w:t xml:space="preserve"> reflected on PCLOB’s Balance Sheet and the balance in the Treasury account.</w:t>
      </w:r>
    </w:p>
    <w:p w14:paraId="37B76D12" w14:textId="6FFCD079" w:rsidR="00DF5CEF" w:rsidRPr="0042313B" w:rsidRDefault="00DF5CEF" w:rsidP="00210A53">
      <w:pPr>
        <w:spacing w:before="240" w:after="240" w:line="276" w:lineRule="auto"/>
        <w:jc w:val="both"/>
        <w:rPr>
          <w:rFonts w:ascii="Cambria" w:hAnsi="Cambria"/>
          <w:sz w:val="24"/>
          <w:szCs w:val="24"/>
        </w:rPr>
      </w:pPr>
      <w:r w:rsidRPr="00AA05E1">
        <w:rPr>
          <w:rFonts w:ascii="Cambria" w:hAnsi="Cambria"/>
          <w:sz w:val="24"/>
          <w:szCs w:val="24"/>
        </w:rPr>
        <w:t xml:space="preserve">Unobligated balances may include amounts that are not available for current use and are restricted to future use. </w:t>
      </w:r>
    </w:p>
    <w:p w14:paraId="39681DD9" w14:textId="50BA165E" w:rsidR="002461D5" w:rsidRPr="0042313B" w:rsidRDefault="00C60087" w:rsidP="00210A53">
      <w:pPr>
        <w:spacing w:line="276" w:lineRule="auto"/>
        <w:jc w:val="both"/>
        <w:rPr>
          <w:rFonts w:ascii="Cambria" w:hAnsi="Cambria"/>
          <w:sz w:val="24"/>
          <w:szCs w:val="24"/>
        </w:rPr>
      </w:pPr>
      <w:r w:rsidRPr="0042313B">
        <w:rPr>
          <w:rFonts w:ascii="Cambria" w:hAnsi="Cambria"/>
          <w:sz w:val="24"/>
          <w:szCs w:val="24"/>
        </w:rPr>
        <w:t>The obligated balance not yet disbursed includes accounts payable, accrued expenses, and undelivered orders that have reduced unexpended appropriations but have not yet decreased the fund balance on hand.</w:t>
      </w:r>
    </w:p>
    <w:p w14:paraId="7E2E03BD" w14:textId="474E4220" w:rsidR="00C60087" w:rsidRPr="000C50CC" w:rsidRDefault="00C60087" w:rsidP="00130634">
      <w:pPr>
        <w:pStyle w:val="Heading4"/>
      </w:pPr>
      <w:bookmarkStart w:id="115" w:name="_NOTE_3_–"/>
      <w:bookmarkStart w:id="116" w:name="_NOTE_3_—"/>
      <w:bookmarkEnd w:id="115"/>
      <w:bookmarkEnd w:id="116"/>
      <w:r w:rsidRPr="00130634">
        <w:lastRenderedPageBreak/>
        <w:t xml:space="preserve">NOTE </w:t>
      </w:r>
      <w:r w:rsidR="00130634">
        <w:t>3</w:t>
      </w:r>
      <w:r w:rsidR="00130634" w:rsidRPr="00130634">
        <w:t xml:space="preserve"> </w:t>
      </w:r>
      <w:r w:rsidR="00B82E76">
        <w:t>—</w:t>
      </w:r>
      <w:r w:rsidR="00B82E76" w:rsidRPr="00130634">
        <w:t xml:space="preserve"> </w:t>
      </w:r>
      <w:r w:rsidRPr="000C50CC">
        <w:t>PROPERTY, PLANT</w:t>
      </w:r>
      <w:r>
        <w:t>,</w:t>
      </w:r>
      <w:r w:rsidRPr="000C50CC">
        <w:t xml:space="preserve"> AND EQUIPMENT, NET</w:t>
      </w:r>
    </w:p>
    <w:p w14:paraId="0115262B" w14:textId="65427E3D" w:rsidR="002B639A" w:rsidRDefault="002B639A" w:rsidP="00C60087">
      <w:pPr>
        <w:tabs>
          <w:tab w:val="left" w:pos="5130"/>
        </w:tabs>
        <w:spacing w:after="0" w:line="276" w:lineRule="auto"/>
        <w:jc w:val="both"/>
        <w:rPr>
          <w:rFonts w:ascii="Cambria" w:hAnsi="Cambria"/>
          <w:sz w:val="24"/>
          <w:szCs w:val="24"/>
        </w:rPr>
      </w:pPr>
      <w:r w:rsidRPr="002B639A">
        <w:rPr>
          <w:rFonts w:ascii="Cambria" w:hAnsi="Cambria"/>
          <w:noProof/>
          <w:sz w:val="24"/>
          <w:szCs w:val="24"/>
        </w:rPr>
        <w:drawing>
          <wp:anchor distT="0" distB="0" distL="114300" distR="114300" simplePos="0" relativeHeight="252237312" behindDoc="0" locked="0" layoutInCell="1" allowOverlap="1" wp14:anchorId="57B1A5FA" wp14:editId="16F9D521">
            <wp:simplePos x="0" y="0"/>
            <wp:positionH relativeFrom="column">
              <wp:posOffset>0</wp:posOffset>
            </wp:positionH>
            <wp:positionV relativeFrom="paragraph">
              <wp:posOffset>262131</wp:posOffset>
            </wp:positionV>
            <wp:extent cx="5943600" cy="1572895"/>
            <wp:effectExtent l="0" t="0" r="0" b="0"/>
            <wp:wrapSquare wrapText="bothSides"/>
            <wp:docPr id="19024471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572895"/>
                    </a:xfrm>
                    <a:prstGeom prst="rect">
                      <a:avLst/>
                    </a:prstGeom>
                    <a:noFill/>
                    <a:ln>
                      <a:noFill/>
                    </a:ln>
                  </pic:spPr>
                </pic:pic>
              </a:graphicData>
            </a:graphic>
          </wp:anchor>
        </w:drawing>
      </w:r>
      <w:r w:rsidR="00C60087">
        <w:rPr>
          <w:rFonts w:ascii="Cambria" w:hAnsi="Cambria"/>
          <w:sz w:val="24"/>
          <w:szCs w:val="24"/>
        </w:rPr>
        <w:t>Property, plant, and equipment</w:t>
      </w:r>
      <w:r w:rsidR="00C60087" w:rsidRPr="000C50CC">
        <w:rPr>
          <w:rFonts w:ascii="Cambria" w:hAnsi="Cambria"/>
          <w:sz w:val="24"/>
          <w:szCs w:val="24"/>
        </w:rPr>
        <w:t xml:space="preserve">, </w:t>
      </w:r>
      <w:r w:rsidR="00C60087">
        <w:rPr>
          <w:rFonts w:ascii="Cambria" w:hAnsi="Cambria"/>
          <w:sz w:val="24"/>
          <w:szCs w:val="24"/>
        </w:rPr>
        <w:t>n</w:t>
      </w:r>
      <w:r w:rsidR="00C60087" w:rsidRPr="000C50CC">
        <w:rPr>
          <w:rFonts w:ascii="Cambria" w:hAnsi="Cambria"/>
          <w:sz w:val="24"/>
          <w:szCs w:val="24"/>
        </w:rPr>
        <w:t xml:space="preserve">et, as of September 30, </w:t>
      </w:r>
      <w:r w:rsidR="0049075B">
        <w:rPr>
          <w:rFonts w:ascii="Cambria" w:hAnsi="Cambria"/>
          <w:sz w:val="24"/>
          <w:szCs w:val="24"/>
        </w:rPr>
        <w:t>2025</w:t>
      </w:r>
      <w:r w:rsidR="00422194">
        <w:rPr>
          <w:rFonts w:ascii="Cambria" w:hAnsi="Cambria"/>
          <w:sz w:val="24"/>
          <w:szCs w:val="24"/>
        </w:rPr>
        <w:t>,</w:t>
      </w:r>
      <w:r w:rsidR="00C60087" w:rsidRPr="000C50CC">
        <w:rPr>
          <w:rFonts w:ascii="Cambria" w:hAnsi="Cambria"/>
          <w:sz w:val="24"/>
          <w:szCs w:val="24"/>
        </w:rPr>
        <w:t xml:space="preserve"> </w:t>
      </w:r>
      <w:proofErr w:type="gramStart"/>
      <w:r w:rsidR="00C60087" w:rsidRPr="000C50CC">
        <w:rPr>
          <w:rFonts w:ascii="Cambria" w:hAnsi="Cambria"/>
          <w:sz w:val="24"/>
          <w:szCs w:val="24"/>
        </w:rPr>
        <w:t>was</w:t>
      </w:r>
      <w:proofErr w:type="gramEnd"/>
      <w:r w:rsidR="00C60087" w:rsidRPr="000C50CC">
        <w:rPr>
          <w:rFonts w:ascii="Cambria" w:hAnsi="Cambria"/>
          <w:sz w:val="24"/>
          <w:szCs w:val="24"/>
        </w:rPr>
        <w:t xml:space="preserve"> as follows:</w:t>
      </w:r>
      <w:r w:rsidRPr="002B639A">
        <w:rPr>
          <w:rFonts w:ascii="Cambria" w:hAnsi="Cambria"/>
          <w:sz w:val="24"/>
          <w:szCs w:val="24"/>
        </w:rPr>
        <w:t xml:space="preserve"> </w:t>
      </w:r>
    </w:p>
    <w:p w14:paraId="25F31C64" w14:textId="66311BE1" w:rsidR="00C60087" w:rsidRPr="000C50CC" w:rsidRDefault="00C60087" w:rsidP="00C938C4">
      <w:pPr>
        <w:pStyle w:val="Heading4"/>
      </w:pPr>
      <w:bookmarkStart w:id="117" w:name="_NOTE_4_–"/>
      <w:bookmarkStart w:id="118" w:name="_NOTE_4_—"/>
      <w:bookmarkStart w:id="119" w:name="_Hlk149378541"/>
      <w:bookmarkEnd w:id="117"/>
      <w:bookmarkEnd w:id="118"/>
      <w:r w:rsidRPr="000C50CC">
        <w:t xml:space="preserve">NOTE </w:t>
      </w:r>
      <w:r w:rsidR="00F53192">
        <w:t>4</w:t>
      </w:r>
      <w:r w:rsidR="00F53192" w:rsidRPr="000C50CC">
        <w:t xml:space="preserve"> </w:t>
      </w:r>
      <w:r w:rsidR="00B82E76">
        <w:t>—</w:t>
      </w:r>
      <w:r w:rsidR="00B82E76" w:rsidRPr="000C50CC">
        <w:t xml:space="preserve"> </w:t>
      </w:r>
      <w:r w:rsidRPr="000C50CC">
        <w:t>LIABILITIES NOT COVERED BY BUDGETARY RESOURCES</w:t>
      </w:r>
    </w:p>
    <w:bookmarkEnd w:id="119"/>
    <w:p w14:paraId="03224D50" w14:textId="1ED69763" w:rsidR="00054FE3" w:rsidRDefault="00054FE3" w:rsidP="00C60087">
      <w:pPr>
        <w:pStyle w:val="BodyText3"/>
        <w:spacing w:after="240" w:line="276" w:lineRule="auto"/>
        <w:rPr>
          <w:rFonts w:ascii="Cambria" w:hAnsi="Cambria"/>
        </w:rPr>
      </w:pPr>
      <w:r>
        <w:rPr>
          <w:rFonts w:ascii="Cambria" w:hAnsi="Cambria"/>
        </w:rPr>
        <w:t xml:space="preserve">The liabilities for PCLOB as of September 30, 2025, included liabilities not covered by budgetary resources. </w:t>
      </w:r>
      <w:r w:rsidR="003A03FF" w:rsidRPr="003A03FF">
        <w:rPr>
          <w:rFonts w:ascii="Cambria" w:hAnsi="Cambria"/>
        </w:rPr>
        <w:t>Liabilities not covered by budgetary resources require future congressional action</w:t>
      </w:r>
      <w:r>
        <w:rPr>
          <w:rFonts w:ascii="Cambria" w:hAnsi="Cambria"/>
        </w:rPr>
        <w:t>,</w:t>
      </w:r>
      <w:r w:rsidR="003A03FF" w:rsidRPr="003A03FF">
        <w:rPr>
          <w:rFonts w:ascii="Cambria" w:hAnsi="Cambria"/>
        </w:rPr>
        <w:t xml:space="preserve"> whereas liabilities covered by budgetary resources reflect prior congressional action. </w:t>
      </w:r>
      <w:r w:rsidRPr="00054FE3">
        <w:rPr>
          <w:rFonts w:ascii="Cambria" w:hAnsi="Cambria"/>
        </w:rPr>
        <w:t>Although future appropriations to fund these liabilities are likely and anticipated, it is not certain that appropriations will be enacted to fund these liabilities.</w:t>
      </w:r>
      <w:r>
        <w:rPr>
          <w:rFonts w:ascii="Cambria" w:hAnsi="Cambria"/>
        </w:rPr>
        <w:t xml:space="preserve"> </w:t>
      </w:r>
    </w:p>
    <w:p w14:paraId="7A94E4DE" w14:textId="1E9D2C0B" w:rsidR="00C60087" w:rsidRDefault="003A03FF" w:rsidP="00C60087">
      <w:pPr>
        <w:pStyle w:val="BodyText3"/>
        <w:spacing w:after="240" w:line="276" w:lineRule="auto"/>
        <w:rPr>
          <w:rFonts w:ascii="Cambria" w:hAnsi="Cambria"/>
        </w:rPr>
      </w:pPr>
      <w:r w:rsidRPr="003A03FF">
        <w:rPr>
          <w:rFonts w:ascii="Cambria" w:hAnsi="Cambria"/>
        </w:rPr>
        <w:t>Liabilities not covered by budgetary resources are always “</w:t>
      </w:r>
      <w:r w:rsidR="00D32A5F">
        <w:rPr>
          <w:rFonts w:ascii="Cambria" w:hAnsi="Cambria"/>
        </w:rPr>
        <w:t>o</w:t>
      </w:r>
      <w:r w:rsidRPr="003A03FF">
        <w:rPr>
          <w:rFonts w:ascii="Cambria" w:hAnsi="Cambria"/>
        </w:rPr>
        <w:t xml:space="preserve">ther than </w:t>
      </w:r>
      <w:r w:rsidR="00D32A5F">
        <w:rPr>
          <w:rFonts w:ascii="Cambria" w:hAnsi="Cambria"/>
        </w:rPr>
        <w:t>i</w:t>
      </w:r>
      <w:r w:rsidRPr="003A03FF">
        <w:rPr>
          <w:rFonts w:ascii="Cambria" w:hAnsi="Cambria"/>
        </w:rPr>
        <w:t>ntragovernmental” in nature.</w:t>
      </w:r>
      <w:r w:rsidR="00C60087" w:rsidRPr="00B46ACB">
        <w:rPr>
          <w:rFonts w:ascii="Cambria" w:hAnsi="Cambria"/>
        </w:rPr>
        <w:t xml:space="preserve"> </w:t>
      </w:r>
    </w:p>
    <w:p w14:paraId="593BFD61" w14:textId="0E8264D2" w:rsidR="00D8702E" w:rsidRPr="00B46ACB" w:rsidRDefault="00D8702E" w:rsidP="00D8702E">
      <w:pPr>
        <w:pStyle w:val="BodyText3"/>
        <w:spacing w:line="276" w:lineRule="auto"/>
        <w:rPr>
          <w:rFonts w:ascii="Cambria" w:hAnsi="Cambria"/>
        </w:rPr>
      </w:pPr>
      <w:proofErr w:type="gramStart"/>
      <w:r>
        <w:rPr>
          <w:rFonts w:ascii="Cambria" w:hAnsi="Cambria"/>
        </w:rPr>
        <w:t>All of</w:t>
      </w:r>
      <w:proofErr w:type="gramEnd"/>
      <w:r>
        <w:rPr>
          <w:rFonts w:ascii="Cambria" w:hAnsi="Cambria"/>
        </w:rPr>
        <w:t xml:space="preserve"> PCLOB’s liabilities as of </w:t>
      </w:r>
      <w:r w:rsidRPr="000C50CC">
        <w:rPr>
          <w:rFonts w:ascii="Cambria" w:hAnsi="Cambria"/>
        </w:rPr>
        <w:t xml:space="preserve">September 30, </w:t>
      </w:r>
      <w:r w:rsidR="0049075B">
        <w:rPr>
          <w:rFonts w:ascii="Cambria" w:hAnsi="Cambria"/>
        </w:rPr>
        <w:t>2025</w:t>
      </w:r>
      <w:r w:rsidR="003021E2">
        <w:rPr>
          <w:rFonts w:ascii="Cambria" w:hAnsi="Cambria"/>
        </w:rPr>
        <w:t>,</w:t>
      </w:r>
      <w:r w:rsidRPr="000C50CC">
        <w:rPr>
          <w:rFonts w:ascii="Cambria" w:hAnsi="Cambria"/>
        </w:rPr>
        <w:t xml:space="preserve"> </w:t>
      </w:r>
      <w:r w:rsidR="00F41063">
        <w:rPr>
          <w:rFonts w:ascii="Cambria" w:hAnsi="Cambria"/>
        </w:rPr>
        <w:t xml:space="preserve">were </w:t>
      </w:r>
      <w:r w:rsidRPr="000C50CC">
        <w:rPr>
          <w:rFonts w:ascii="Cambria" w:hAnsi="Cambria"/>
        </w:rPr>
        <w:t>currently due</w:t>
      </w:r>
      <w:r>
        <w:rPr>
          <w:rFonts w:ascii="Cambria" w:hAnsi="Cambria"/>
        </w:rPr>
        <w:t xml:space="preserve">. </w:t>
      </w:r>
    </w:p>
    <w:p w14:paraId="3D1D0FDC" w14:textId="11E3A42E" w:rsidR="00C60087" w:rsidRDefault="001851EF" w:rsidP="001851EF">
      <w:pPr>
        <w:pStyle w:val="BodyText3"/>
        <w:spacing w:after="240" w:line="276" w:lineRule="auto"/>
        <w:rPr>
          <w:rFonts w:ascii="Cambria" w:hAnsi="Cambria"/>
        </w:rPr>
      </w:pPr>
      <w:r w:rsidRPr="001851EF">
        <w:rPr>
          <w:rFonts w:ascii="Cambria" w:hAnsi="Cambria"/>
          <w:noProof/>
        </w:rPr>
        <w:drawing>
          <wp:anchor distT="0" distB="0" distL="114300" distR="114300" simplePos="0" relativeHeight="252204544" behindDoc="0" locked="0" layoutInCell="1" allowOverlap="1" wp14:anchorId="2E91759E" wp14:editId="095D044D">
            <wp:simplePos x="0" y="0"/>
            <wp:positionH relativeFrom="column">
              <wp:posOffset>0</wp:posOffset>
            </wp:positionH>
            <wp:positionV relativeFrom="paragraph">
              <wp:posOffset>152910</wp:posOffset>
            </wp:positionV>
            <wp:extent cx="5943600" cy="1717040"/>
            <wp:effectExtent l="0" t="0" r="0" b="0"/>
            <wp:wrapTopAndBottom/>
            <wp:docPr id="155950282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717040"/>
                    </a:xfrm>
                    <a:prstGeom prst="rect">
                      <a:avLst/>
                    </a:prstGeom>
                    <a:noFill/>
                    <a:ln>
                      <a:noFill/>
                    </a:ln>
                  </pic:spPr>
                </pic:pic>
              </a:graphicData>
            </a:graphic>
          </wp:anchor>
        </w:drawing>
      </w:r>
      <w:r w:rsidR="00C60087" w:rsidRPr="00B46ACB">
        <w:rPr>
          <w:rFonts w:ascii="Cambria" w:hAnsi="Cambria"/>
        </w:rPr>
        <w:t xml:space="preserve">Unfunded </w:t>
      </w:r>
      <w:r w:rsidR="00854292">
        <w:rPr>
          <w:rFonts w:ascii="Cambria" w:hAnsi="Cambria"/>
        </w:rPr>
        <w:t>L</w:t>
      </w:r>
      <w:r w:rsidR="00C60087" w:rsidRPr="00B46ACB">
        <w:rPr>
          <w:rFonts w:ascii="Cambria" w:hAnsi="Cambria"/>
        </w:rPr>
        <w:t xml:space="preserve">eave represents a liability for earned leave and is reduced when leave is taken. The balance in the accrued annual leave account is reviewed quarterly and adjusted as needed to accurately reflect the liability at current pay rates and leave balances. Accrued annual leave is paid from future funding sources and, </w:t>
      </w:r>
      <w:r w:rsidR="00535471" w:rsidRPr="00B46ACB">
        <w:rPr>
          <w:rFonts w:ascii="Cambria" w:hAnsi="Cambria"/>
        </w:rPr>
        <w:t>accordingly,</w:t>
      </w:r>
      <w:r w:rsidR="00C60087" w:rsidRPr="00B46ACB">
        <w:rPr>
          <w:rFonts w:ascii="Cambria" w:hAnsi="Cambria"/>
        </w:rPr>
        <w:t xml:space="preserve"> </w:t>
      </w:r>
      <w:r>
        <w:rPr>
          <w:rFonts w:ascii="Cambria" w:hAnsi="Cambria"/>
        </w:rPr>
        <w:t xml:space="preserve">is </w:t>
      </w:r>
      <w:r w:rsidR="00854292">
        <w:rPr>
          <w:rFonts w:ascii="Cambria" w:hAnsi="Cambria"/>
        </w:rPr>
        <w:t xml:space="preserve">classified as </w:t>
      </w:r>
      <w:r w:rsidR="00C60087" w:rsidRPr="00B46ACB">
        <w:rPr>
          <w:rFonts w:ascii="Cambria" w:hAnsi="Cambria"/>
        </w:rPr>
        <w:t>liabilit</w:t>
      </w:r>
      <w:r w:rsidR="00854292">
        <w:rPr>
          <w:rFonts w:ascii="Cambria" w:hAnsi="Cambria"/>
        </w:rPr>
        <w:t xml:space="preserve">ies </w:t>
      </w:r>
      <w:r w:rsidR="00C60087" w:rsidRPr="00B46ACB">
        <w:rPr>
          <w:rFonts w:ascii="Cambria" w:hAnsi="Cambria"/>
        </w:rPr>
        <w:t xml:space="preserve">not covered by budgetary resources. Sick and other leave is expensed as taken.  </w:t>
      </w:r>
    </w:p>
    <w:p w14:paraId="4FB9E14F" w14:textId="240A0BD4" w:rsidR="00BA75D5" w:rsidRDefault="003021E2" w:rsidP="00210A53">
      <w:pPr>
        <w:pStyle w:val="BodyText3"/>
        <w:rPr>
          <w:rFonts w:ascii="Cambria" w:eastAsia="Calibri" w:hAnsi="Cambria"/>
          <w:b/>
          <w:bCs/>
        </w:rPr>
      </w:pPr>
      <w:r w:rsidRPr="00502B1A">
        <w:rPr>
          <w:rFonts w:ascii="Cambria" w:hAnsi="Cambria"/>
        </w:rPr>
        <w:t>Contingent Liabilities</w:t>
      </w:r>
      <w:r w:rsidR="0017679B">
        <w:rPr>
          <w:rFonts w:ascii="Cambria" w:hAnsi="Cambria"/>
        </w:rPr>
        <w:t xml:space="preserve"> represent </w:t>
      </w:r>
      <w:r w:rsidRPr="00502B1A">
        <w:rPr>
          <w:rFonts w:ascii="Cambria" w:hAnsi="Cambria"/>
        </w:rPr>
        <w:t>future outflow</w:t>
      </w:r>
      <w:r w:rsidR="00B55CA5">
        <w:rPr>
          <w:rFonts w:ascii="Cambria" w:hAnsi="Cambria"/>
        </w:rPr>
        <w:t>s</w:t>
      </w:r>
      <w:r w:rsidRPr="00502B1A">
        <w:rPr>
          <w:rFonts w:ascii="Cambria" w:hAnsi="Cambria"/>
        </w:rPr>
        <w:t xml:space="preserve"> of resources </w:t>
      </w:r>
      <w:r w:rsidR="0017679B">
        <w:rPr>
          <w:rFonts w:ascii="Cambria" w:hAnsi="Cambria"/>
        </w:rPr>
        <w:t xml:space="preserve">that are </w:t>
      </w:r>
      <w:r w:rsidRPr="00502B1A">
        <w:rPr>
          <w:rFonts w:ascii="Cambria" w:hAnsi="Cambria"/>
        </w:rPr>
        <w:t xml:space="preserve">likely to occur and </w:t>
      </w:r>
      <w:r w:rsidR="0017679B">
        <w:rPr>
          <w:rFonts w:ascii="Cambria" w:hAnsi="Cambria"/>
        </w:rPr>
        <w:t>are</w:t>
      </w:r>
      <w:r w:rsidRPr="00502B1A">
        <w:rPr>
          <w:rFonts w:ascii="Cambria" w:hAnsi="Cambria"/>
        </w:rPr>
        <w:t xml:space="preserve"> measurable</w:t>
      </w:r>
      <w:r w:rsidR="0017679B">
        <w:rPr>
          <w:rFonts w:ascii="Cambria" w:hAnsi="Cambria"/>
        </w:rPr>
        <w:t xml:space="preserve"> (</w:t>
      </w:r>
      <w:hyperlink w:anchor="_NOTE_5_—" w:history="1">
        <w:r w:rsidR="0017679B" w:rsidRPr="00155071">
          <w:rPr>
            <w:rStyle w:val="Hyperlink"/>
            <w:rFonts w:ascii="Cambria" w:hAnsi="Cambria"/>
          </w:rPr>
          <w:t>Note 5</w:t>
        </w:r>
      </w:hyperlink>
      <w:r w:rsidR="0017679B">
        <w:rPr>
          <w:rFonts w:ascii="Cambria" w:hAnsi="Cambria"/>
        </w:rPr>
        <w:t>).</w:t>
      </w:r>
      <w:bookmarkStart w:id="120" w:name="_NOTE_6_–"/>
      <w:bookmarkEnd w:id="120"/>
    </w:p>
    <w:p w14:paraId="6D89E2A9" w14:textId="77777777" w:rsidR="001851EF" w:rsidRDefault="001851EF" w:rsidP="00AA113B">
      <w:r>
        <w:br w:type="page"/>
      </w:r>
    </w:p>
    <w:p w14:paraId="1A3CAA9A" w14:textId="15A92791" w:rsidR="00C60087" w:rsidRPr="00AD7A93" w:rsidRDefault="00C60087" w:rsidP="00502B1A">
      <w:pPr>
        <w:pStyle w:val="Heading4"/>
      </w:pPr>
      <w:bookmarkStart w:id="121" w:name="_NOTE_5_—"/>
      <w:bookmarkEnd w:id="121"/>
      <w:r w:rsidRPr="000C50CC">
        <w:lastRenderedPageBreak/>
        <w:t xml:space="preserve">NOTE </w:t>
      </w:r>
      <w:r w:rsidR="00F53192">
        <w:t>5</w:t>
      </w:r>
      <w:r w:rsidRPr="000C50CC">
        <w:t xml:space="preserve"> </w:t>
      </w:r>
      <w:r w:rsidR="00B82E76">
        <w:t>—</w:t>
      </w:r>
      <w:r w:rsidR="00B82E76" w:rsidRPr="000C50CC">
        <w:t xml:space="preserve"> </w:t>
      </w:r>
      <w:r w:rsidRPr="000C50CC">
        <w:t>OTHER LIABILITIES</w:t>
      </w:r>
    </w:p>
    <w:p w14:paraId="4C50889F" w14:textId="53E627E1" w:rsidR="00AF2186" w:rsidRDefault="001851EF" w:rsidP="00AA05E1">
      <w:pPr>
        <w:spacing w:line="276" w:lineRule="auto"/>
        <w:jc w:val="both"/>
        <w:rPr>
          <w:noProof/>
        </w:rPr>
      </w:pPr>
      <w:r w:rsidRPr="001851EF">
        <w:rPr>
          <w:rFonts w:ascii="Cambria" w:eastAsia="Calibri" w:hAnsi="Cambria" w:cs="Times New Roman"/>
          <w:noProof/>
          <w:sz w:val="24"/>
          <w:szCs w:val="24"/>
        </w:rPr>
        <w:drawing>
          <wp:anchor distT="0" distB="0" distL="114300" distR="114300" simplePos="0" relativeHeight="252205568" behindDoc="0" locked="0" layoutInCell="1" allowOverlap="1" wp14:anchorId="6D183D87" wp14:editId="6F2BA707">
            <wp:simplePos x="0" y="0"/>
            <wp:positionH relativeFrom="column">
              <wp:posOffset>0</wp:posOffset>
            </wp:positionH>
            <wp:positionV relativeFrom="paragraph">
              <wp:posOffset>455930</wp:posOffset>
            </wp:positionV>
            <wp:extent cx="5943600" cy="2101215"/>
            <wp:effectExtent l="0" t="0" r="0" b="0"/>
            <wp:wrapTopAndBottom/>
            <wp:docPr id="64341946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2101215"/>
                    </a:xfrm>
                    <a:prstGeom prst="rect">
                      <a:avLst/>
                    </a:prstGeom>
                    <a:noFill/>
                    <a:ln>
                      <a:noFill/>
                    </a:ln>
                  </pic:spPr>
                </pic:pic>
              </a:graphicData>
            </a:graphic>
          </wp:anchor>
        </w:drawing>
      </w:r>
      <w:r w:rsidR="00502B1A">
        <w:rPr>
          <w:rFonts w:ascii="Cambria" w:hAnsi="Cambria"/>
          <w:sz w:val="24"/>
          <w:szCs w:val="24"/>
        </w:rPr>
        <w:t>The o</w:t>
      </w:r>
      <w:r w:rsidR="00C60087" w:rsidRPr="000C50CC">
        <w:rPr>
          <w:rFonts w:ascii="Cambria" w:hAnsi="Cambria"/>
          <w:sz w:val="24"/>
          <w:szCs w:val="24"/>
        </w:rPr>
        <w:t xml:space="preserve">ther liabilities account balance as of September 30, </w:t>
      </w:r>
      <w:r w:rsidR="0049075B">
        <w:rPr>
          <w:rFonts w:ascii="Cambria" w:hAnsi="Cambria"/>
          <w:sz w:val="24"/>
          <w:szCs w:val="24"/>
        </w:rPr>
        <w:t>2025</w:t>
      </w:r>
      <w:r w:rsidR="00BA75D5">
        <w:rPr>
          <w:rFonts w:ascii="Cambria" w:hAnsi="Cambria"/>
          <w:sz w:val="24"/>
          <w:szCs w:val="24"/>
        </w:rPr>
        <w:t>,</w:t>
      </w:r>
      <w:r w:rsidR="00C60087" w:rsidRPr="000C50CC">
        <w:rPr>
          <w:rFonts w:ascii="Cambria" w:hAnsi="Cambria"/>
          <w:sz w:val="24"/>
          <w:szCs w:val="24"/>
        </w:rPr>
        <w:t xml:space="preserve"> </w:t>
      </w:r>
      <w:r w:rsidR="00C60087" w:rsidRPr="00693F46">
        <w:rPr>
          <w:rFonts w:ascii="Cambria" w:hAnsi="Cambria"/>
          <w:sz w:val="24"/>
          <w:szCs w:val="24"/>
        </w:rPr>
        <w:t xml:space="preserve">entirely comprised of currently due balances, </w:t>
      </w:r>
      <w:r w:rsidR="00BA75D5">
        <w:rPr>
          <w:rFonts w:ascii="Cambria" w:hAnsi="Cambria"/>
          <w:sz w:val="24"/>
          <w:szCs w:val="24"/>
        </w:rPr>
        <w:t>was</w:t>
      </w:r>
      <w:r w:rsidR="00BA75D5" w:rsidRPr="00693F46">
        <w:rPr>
          <w:rFonts w:ascii="Cambria" w:hAnsi="Cambria"/>
          <w:sz w:val="24"/>
          <w:szCs w:val="24"/>
        </w:rPr>
        <w:t xml:space="preserve"> </w:t>
      </w:r>
      <w:r w:rsidR="00C60087" w:rsidRPr="00693F46">
        <w:rPr>
          <w:rFonts w:ascii="Cambria" w:hAnsi="Cambria"/>
          <w:sz w:val="24"/>
          <w:szCs w:val="24"/>
        </w:rPr>
        <w:t>as follows:</w:t>
      </w:r>
      <w:r w:rsidR="00C60087" w:rsidRPr="000C50CC">
        <w:rPr>
          <w:rFonts w:ascii="Cambria" w:hAnsi="Cambria"/>
        </w:rPr>
        <w:t xml:space="preserve"> </w:t>
      </w:r>
      <w:r w:rsidR="00C60087" w:rsidRPr="00BA3F56">
        <w:rPr>
          <w:noProof/>
        </w:rPr>
        <w:t xml:space="preserve"> </w:t>
      </w:r>
    </w:p>
    <w:p w14:paraId="4A96B575" w14:textId="5E33CC1A" w:rsidR="00D70288" w:rsidRDefault="00D70288" w:rsidP="00BE14D2">
      <w:pPr>
        <w:spacing w:before="240" w:line="276" w:lineRule="auto"/>
        <w:jc w:val="both"/>
        <w:rPr>
          <w:rFonts w:ascii="Cambria" w:eastAsia="Calibri" w:hAnsi="Cambria" w:cs="Times New Roman"/>
          <w:sz w:val="24"/>
          <w:szCs w:val="24"/>
        </w:rPr>
      </w:pPr>
      <w:r>
        <w:rPr>
          <w:rFonts w:ascii="Cambria" w:eastAsia="Calibri" w:hAnsi="Cambria" w:cs="Times New Roman"/>
          <w:sz w:val="24"/>
          <w:szCs w:val="24"/>
        </w:rPr>
        <w:t>“</w:t>
      </w:r>
      <w:r w:rsidR="00E52349" w:rsidRPr="00E52349">
        <w:rPr>
          <w:rFonts w:ascii="Cambria" w:eastAsia="Calibri" w:hAnsi="Cambria" w:cs="Times New Roman"/>
          <w:sz w:val="24"/>
          <w:szCs w:val="24"/>
        </w:rPr>
        <w:t xml:space="preserve">Employer </w:t>
      </w:r>
      <w:r>
        <w:rPr>
          <w:rFonts w:ascii="Cambria" w:eastAsia="Calibri" w:hAnsi="Cambria" w:cs="Times New Roman"/>
          <w:sz w:val="24"/>
          <w:szCs w:val="24"/>
        </w:rPr>
        <w:t>C</w:t>
      </w:r>
      <w:r w:rsidR="00E52349" w:rsidRPr="00E52349">
        <w:rPr>
          <w:rFonts w:ascii="Cambria" w:eastAsia="Calibri" w:hAnsi="Cambria" w:cs="Times New Roman"/>
          <w:sz w:val="24"/>
          <w:szCs w:val="24"/>
        </w:rPr>
        <w:t xml:space="preserve">ontributions </w:t>
      </w:r>
      <w:r w:rsidR="00E52349">
        <w:rPr>
          <w:rFonts w:ascii="Cambria" w:eastAsia="Calibri" w:hAnsi="Cambria" w:cs="Times New Roman"/>
          <w:sz w:val="24"/>
          <w:szCs w:val="24"/>
        </w:rPr>
        <w:t xml:space="preserve">and </w:t>
      </w:r>
      <w:r>
        <w:rPr>
          <w:rFonts w:ascii="Cambria" w:eastAsia="Calibri" w:hAnsi="Cambria" w:cs="Times New Roman"/>
          <w:sz w:val="24"/>
          <w:szCs w:val="24"/>
        </w:rPr>
        <w:t>P</w:t>
      </w:r>
      <w:r w:rsidR="00E52349">
        <w:rPr>
          <w:rFonts w:ascii="Cambria" w:eastAsia="Calibri" w:hAnsi="Cambria" w:cs="Times New Roman"/>
          <w:sz w:val="24"/>
          <w:szCs w:val="24"/>
        </w:rPr>
        <w:t xml:space="preserve">ayroll </w:t>
      </w:r>
      <w:r>
        <w:rPr>
          <w:rFonts w:ascii="Cambria" w:eastAsia="Calibri" w:hAnsi="Cambria" w:cs="Times New Roman"/>
          <w:sz w:val="24"/>
          <w:szCs w:val="24"/>
        </w:rPr>
        <w:t>T</w:t>
      </w:r>
      <w:r w:rsidR="00E52349">
        <w:rPr>
          <w:rFonts w:ascii="Cambria" w:eastAsia="Calibri" w:hAnsi="Cambria" w:cs="Times New Roman"/>
          <w:sz w:val="24"/>
          <w:szCs w:val="24"/>
        </w:rPr>
        <w:t xml:space="preserve">axes </w:t>
      </w:r>
      <w:r>
        <w:rPr>
          <w:rFonts w:ascii="Cambria" w:eastAsia="Calibri" w:hAnsi="Cambria" w:cs="Times New Roman"/>
          <w:sz w:val="24"/>
          <w:szCs w:val="24"/>
        </w:rPr>
        <w:t>P</w:t>
      </w:r>
      <w:r w:rsidR="00E52349">
        <w:rPr>
          <w:rFonts w:ascii="Cambria" w:eastAsia="Calibri" w:hAnsi="Cambria" w:cs="Times New Roman"/>
          <w:sz w:val="24"/>
          <w:szCs w:val="24"/>
        </w:rPr>
        <w:t>ayable</w:t>
      </w:r>
      <w:r>
        <w:rPr>
          <w:rFonts w:ascii="Cambria" w:eastAsia="Calibri" w:hAnsi="Cambria" w:cs="Times New Roman"/>
          <w:sz w:val="24"/>
          <w:szCs w:val="24"/>
        </w:rPr>
        <w:t xml:space="preserve">” </w:t>
      </w:r>
      <w:r w:rsidRPr="00D70288">
        <w:rPr>
          <w:rFonts w:ascii="Cambria" w:eastAsia="Calibri" w:hAnsi="Cambria" w:cs="Times New Roman"/>
          <w:sz w:val="24"/>
          <w:szCs w:val="24"/>
        </w:rPr>
        <w:t>represents the employer portion of payroll taxes and benefit contributions, such</w:t>
      </w:r>
      <w:r>
        <w:rPr>
          <w:rFonts w:ascii="Cambria" w:eastAsia="Calibri" w:hAnsi="Cambria" w:cs="Times New Roman"/>
          <w:sz w:val="24"/>
          <w:szCs w:val="24"/>
        </w:rPr>
        <w:t xml:space="preserve"> </w:t>
      </w:r>
      <w:r w:rsidRPr="00D70288">
        <w:rPr>
          <w:rFonts w:ascii="Cambria" w:eastAsia="Calibri" w:hAnsi="Cambria" w:cs="Times New Roman"/>
          <w:sz w:val="24"/>
          <w:szCs w:val="24"/>
        </w:rPr>
        <w:t>as retirement, and health and life insurance. These intragovernmental liabilities also include the amount of</w:t>
      </w:r>
      <w:r>
        <w:rPr>
          <w:rFonts w:ascii="Cambria" w:eastAsia="Calibri" w:hAnsi="Cambria" w:cs="Times New Roman"/>
          <w:sz w:val="24"/>
          <w:szCs w:val="24"/>
        </w:rPr>
        <w:t xml:space="preserve"> </w:t>
      </w:r>
      <w:r w:rsidRPr="00D70288">
        <w:rPr>
          <w:rFonts w:ascii="Cambria" w:eastAsia="Calibri" w:hAnsi="Cambria" w:cs="Times New Roman"/>
          <w:sz w:val="24"/>
          <w:szCs w:val="24"/>
        </w:rPr>
        <w:t xml:space="preserve">our funded liability for the FECA. </w:t>
      </w:r>
      <w:r>
        <w:rPr>
          <w:rFonts w:ascii="Cambria" w:eastAsia="Calibri" w:hAnsi="Cambria" w:cs="Times New Roman"/>
          <w:sz w:val="24"/>
          <w:szCs w:val="24"/>
        </w:rPr>
        <w:t>“</w:t>
      </w:r>
      <w:r w:rsidR="00735D29">
        <w:rPr>
          <w:rFonts w:ascii="Cambria" w:eastAsia="Calibri" w:hAnsi="Cambria" w:cs="Times New Roman"/>
          <w:sz w:val="24"/>
          <w:szCs w:val="24"/>
        </w:rPr>
        <w:t>W</w:t>
      </w:r>
      <w:r w:rsidRPr="00D70288">
        <w:rPr>
          <w:rFonts w:ascii="Cambria" w:eastAsia="Calibri" w:hAnsi="Cambria" w:cs="Times New Roman"/>
          <w:sz w:val="24"/>
          <w:szCs w:val="24"/>
        </w:rPr>
        <w:t>ithout reciprocals</w:t>
      </w:r>
      <w:r>
        <w:rPr>
          <w:rFonts w:ascii="Cambria" w:eastAsia="Calibri" w:hAnsi="Cambria" w:cs="Times New Roman"/>
          <w:sz w:val="24"/>
          <w:szCs w:val="24"/>
        </w:rPr>
        <w:t>”</w:t>
      </w:r>
      <w:r w:rsidRPr="00D70288">
        <w:rPr>
          <w:rFonts w:ascii="Cambria" w:eastAsia="Calibri" w:hAnsi="Cambria" w:cs="Times New Roman"/>
          <w:sz w:val="24"/>
          <w:szCs w:val="24"/>
        </w:rPr>
        <w:t xml:space="preserve"> refers to transactions that</w:t>
      </w:r>
      <w:r>
        <w:rPr>
          <w:rFonts w:ascii="Cambria" w:eastAsia="Calibri" w:hAnsi="Cambria" w:cs="Times New Roman"/>
          <w:sz w:val="24"/>
          <w:szCs w:val="24"/>
        </w:rPr>
        <w:t xml:space="preserve"> </w:t>
      </w:r>
      <w:r w:rsidRPr="00D70288">
        <w:rPr>
          <w:rFonts w:ascii="Cambria" w:eastAsia="Calibri" w:hAnsi="Cambria" w:cs="Times New Roman"/>
          <w:sz w:val="24"/>
          <w:szCs w:val="24"/>
        </w:rPr>
        <w:t>are intragovernmental in nature, but no reciprocal balances will be reported by any other federal entity. For</w:t>
      </w:r>
      <w:r>
        <w:rPr>
          <w:rFonts w:ascii="Cambria" w:eastAsia="Calibri" w:hAnsi="Cambria" w:cs="Times New Roman"/>
          <w:sz w:val="24"/>
          <w:szCs w:val="24"/>
        </w:rPr>
        <w:t xml:space="preserve"> PCLOB</w:t>
      </w:r>
      <w:r w:rsidRPr="00D70288">
        <w:rPr>
          <w:rFonts w:ascii="Cambria" w:eastAsia="Calibri" w:hAnsi="Cambria" w:cs="Times New Roman"/>
          <w:sz w:val="24"/>
          <w:szCs w:val="24"/>
        </w:rPr>
        <w:t>, th</w:t>
      </w:r>
      <w:r>
        <w:rPr>
          <w:rFonts w:ascii="Cambria" w:eastAsia="Calibri" w:hAnsi="Cambria" w:cs="Times New Roman"/>
          <w:sz w:val="24"/>
          <w:szCs w:val="24"/>
        </w:rPr>
        <w:t>is</w:t>
      </w:r>
      <w:r w:rsidRPr="00D70288">
        <w:rPr>
          <w:rFonts w:ascii="Cambria" w:eastAsia="Calibri" w:hAnsi="Cambria" w:cs="Times New Roman"/>
          <w:sz w:val="24"/>
          <w:szCs w:val="24"/>
        </w:rPr>
        <w:t xml:space="preserve"> balance relate</w:t>
      </w:r>
      <w:r>
        <w:rPr>
          <w:rFonts w:ascii="Cambria" w:eastAsia="Calibri" w:hAnsi="Cambria" w:cs="Times New Roman"/>
          <w:sz w:val="24"/>
          <w:szCs w:val="24"/>
        </w:rPr>
        <w:t>s</w:t>
      </w:r>
      <w:r w:rsidRPr="00D70288">
        <w:rPr>
          <w:rFonts w:ascii="Cambria" w:eastAsia="Calibri" w:hAnsi="Cambria" w:cs="Times New Roman"/>
          <w:sz w:val="24"/>
          <w:szCs w:val="24"/>
        </w:rPr>
        <w:t xml:space="preserve"> to accrued liabilities for employees’ withholding taxes under the Federal Insurance</w:t>
      </w:r>
      <w:r>
        <w:rPr>
          <w:rFonts w:ascii="Cambria" w:eastAsia="Calibri" w:hAnsi="Cambria" w:cs="Times New Roman"/>
          <w:sz w:val="24"/>
          <w:szCs w:val="24"/>
        </w:rPr>
        <w:t xml:space="preserve"> </w:t>
      </w:r>
      <w:r w:rsidRPr="00D70288">
        <w:rPr>
          <w:rFonts w:ascii="Cambria" w:eastAsia="Calibri" w:hAnsi="Cambria" w:cs="Times New Roman"/>
          <w:sz w:val="24"/>
          <w:szCs w:val="24"/>
        </w:rPr>
        <w:t>Contributions Act and hospital insurance tax.</w:t>
      </w:r>
    </w:p>
    <w:p w14:paraId="60DD8A94" w14:textId="79290489" w:rsidR="0035516F" w:rsidRPr="00502B1A" w:rsidRDefault="0035516F" w:rsidP="00502B1A">
      <w:pPr>
        <w:spacing w:line="276" w:lineRule="auto"/>
        <w:jc w:val="both"/>
        <w:rPr>
          <w:rFonts w:ascii="Cambria" w:eastAsia="Calibri" w:hAnsi="Cambria" w:cs="Times New Roman"/>
          <w:sz w:val="24"/>
          <w:szCs w:val="24"/>
        </w:rPr>
      </w:pPr>
      <w:r>
        <w:rPr>
          <w:rFonts w:ascii="Cambria" w:eastAsia="Calibri" w:hAnsi="Cambria" w:cs="Times New Roman"/>
          <w:sz w:val="24"/>
          <w:szCs w:val="24"/>
        </w:rPr>
        <w:t>PCLOB</w:t>
      </w:r>
      <w:r w:rsidRPr="00502B1A">
        <w:rPr>
          <w:rFonts w:ascii="Cambria" w:eastAsia="Calibri" w:hAnsi="Cambria" w:cs="Times New Roman"/>
          <w:sz w:val="24"/>
          <w:szCs w:val="24"/>
        </w:rPr>
        <w:t xml:space="preserve"> is a party to actions that may ultimately result in settlements or decisions adverse to the federal government. As of September 30, 202</w:t>
      </w:r>
      <w:r>
        <w:rPr>
          <w:rFonts w:ascii="Cambria" w:eastAsia="Calibri" w:hAnsi="Cambria" w:cs="Times New Roman"/>
          <w:sz w:val="24"/>
          <w:szCs w:val="24"/>
        </w:rPr>
        <w:t>5</w:t>
      </w:r>
      <w:r w:rsidRPr="00502B1A">
        <w:rPr>
          <w:rFonts w:ascii="Cambria" w:eastAsia="Calibri" w:hAnsi="Cambria" w:cs="Times New Roman"/>
          <w:sz w:val="24"/>
          <w:szCs w:val="24"/>
        </w:rPr>
        <w:t xml:space="preserve">, </w:t>
      </w:r>
      <w:r w:rsidR="00AE41AB">
        <w:rPr>
          <w:rFonts w:ascii="Cambria" w:eastAsia="Calibri" w:hAnsi="Cambria" w:cs="Times New Roman"/>
          <w:sz w:val="24"/>
          <w:szCs w:val="24"/>
        </w:rPr>
        <w:t>these</w:t>
      </w:r>
      <w:r w:rsidRPr="00502B1A">
        <w:rPr>
          <w:rFonts w:ascii="Cambria" w:eastAsia="Calibri" w:hAnsi="Cambria" w:cs="Times New Roman"/>
          <w:sz w:val="24"/>
          <w:szCs w:val="24"/>
        </w:rPr>
        <w:t xml:space="preserve"> </w:t>
      </w:r>
      <w:r w:rsidR="003129C5">
        <w:rPr>
          <w:rFonts w:ascii="Cambria" w:eastAsia="Calibri" w:hAnsi="Cambria" w:cs="Times New Roman"/>
          <w:sz w:val="24"/>
          <w:szCs w:val="24"/>
        </w:rPr>
        <w:t xml:space="preserve">actions </w:t>
      </w:r>
      <w:r w:rsidR="00AE41AB">
        <w:rPr>
          <w:rFonts w:ascii="Cambria" w:eastAsia="Calibri" w:hAnsi="Cambria" w:cs="Times New Roman"/>
          <w:sz w:val="24"/>
          <w:szCs w:val="24"/>
        </w:rPr>
        <w:t xml:space="preserve">were </w:t>
      </w:r>
      <w:r w:rsidRPr="00502B1A">
        <w:rPr>
          <w:rFonts w:ascii="Cambria" w:eastAsia="Calibri" w:hAnsi="Cambria" w:cs="Times New Roman"/>
          <w:sz w:val="24"/>
          <w:szCs w:val="24"/>
        </w:rPr>
        <w:t>categorized as</w:t>
      </w:r>
      <w:r w:rsidR="00AE41AB">
        <w:rPr>
          <w:rFonts w:ascii="Cambria" w:eastAsia="Calibri" w:hAnsi="Cambria" w:cs="Times New Roman"/>
          <w:sz w:val="24"/>
          <w:szCs w:val="24"/>
        </w:rPr>
        <w:t xml:space="preserve"> probable contingencies and as such, were recognized in the financial statements for an estimated total </w:t>
      </w:r>
      <w:r w:rsidR="003129C5">
        <w:rPr>
          <w:rFonts w:ascii="Cambria" w:eastAsia="Calibri" w:hAnsi="Cambria" w:cs="Times New Roman"/>
          <w:sz w:val="24"/>
          <w:szCs w:val="24"/>
        </w:rPr>
        <w:t xml:space="preserve">liability </w:t>
      </w:r>
      <w:r w:rsidR="00AE41AB">
        <w:rPr>
          <w:rFonts w:ascii="Cambria" w:eastAsia="Calibri" w:hAnsi="Cambria" w:cs="Times New Roman"/>
          <w:sz w:val="24"/>
          <w:szCs w:val="24"/>
        </w:rPr>
        <w:t>of $86,000.</w:t>
      </w:r>
    </w:p>
    <w:p w14:paraId="7FC9C5E7" w14:textId="7EFAA8DC" w:rsidR="00C60087" w:rsidRPr="000C50CC" w:rsidRDefault="00C60087" w:rsidP="00502B1A">
      <w:pPr>
        <w:pStyle w:val="Heading4"/>
        <w:spacing w:before="0"/>
      </w:pPr>
      <w:bookmarkStart w:id="122" w:name="_NOTE_6_–_1"/>
      <w:bookmarkStart w:id="123" w:name="_NOTE_6_—"/>
      <w:bookmarkEnd w:id="122"/>
      <w:bookmarkEnd w:id="123"/>
      <w:r w:rsidRPr="000C50CC">
        <w:t xml:space="preserve">NOTE </w:t>
      </w:r>
      <w:r w:rsidR="00130634">
        <w:t xml:space="preserve">6 </w:t>
      </w:r>
      <w:r w:rsidR="00B82E76">
        <w:t>—</w:t>
      </w:r>
      <w:r w:rsidR="00B82E76" w:rsidRPr="000C50CC">
        <w:t xml:space="preserve"> </w:t>
      </w:r>
      <w:r w:rsidRPr="000C50CC">
        <w:t>LEASES</w:t>
      </w:r>
    </w:p>
    <w:p w14:paraId="7ABA2EAB" w14:textId="002DCCF8" w:rsidR="00C60087" w:rsidRDefault="00F16166" w:rsidP="00C60087">
      <w:pPr>
        <w:pStyle w:val="BodyText3"/>
        <w:spacing w:after="240" w:line="276" w:lineRule="auto"/>
        <w:rPr>
          <w:rFonts w:ascii="Cambria" w:hAnsi="Cambria"/>
        </w:rPr>
      </w:pPr>
      <w:r w:rsidRPr="00F16166">
        <w:rPr>
          <w:rFonts w:ascii="Cambria" w:hAnsi="Cambria"/>
        </w:rPr>
        <w:t>In FY 2024, PCLOB applied the provisions of SFFAS 54</w:t>
      </w:r>
      <w:r w:rsidR="00735D29">
        <w:rPr>
          <w:rFonts w:ascii="Cambria" w:hAnsi="Cambria"/>
        </w:rPr>
        <w:t xml:space="preserve">. </w:t>
      </w:r>
      <w:r w:rsidRPr="00F16166">
        <w:rPr>
          <w:rFonts w:ascii="Cambria" w:hAnsi="Cambria"/>
        </w:rPr>
        <w:t>PCLOB, as a lessee, has an intragovernmental lease arrangement for office space and associated parking, with payment made separately to the provider of on-premises security guard services.</w:t>
      </w:r>
      <w:r w:rsidR="00C60087" w:rsidRPr="00BA3F56">
        <w:rPr>
          <w:rFonts w:ascii="Cambria" w:hAnsi="Cambria"/>
        </w:rPr>
        <w:t xml:space="preserve"> The lease term began on April 30, 2018</w:t>
      </w:r>
      <w:r w:rsidR="0017679B">
        <w:rPr>
          <w:rFonts w:ascii="Cambria" w:hAnsi="Cambria"/>
        </w:rPr>
        <w:t>,</w:t>
      </w:r>
      <w:r w:rsidR="00C60087" w:rsidRPr="00BA3F56">
        <w:rPr>
          <w:rFonts w:ascii="Cambria" w:hAnsi="Cambria"/>
        </w:rPr>
        <w:t xml:space="preserve"> and expires on April 29, 2028. </w:t>
      </w:r>
      <w:r w:rsidR="00F12617">
        <w:rPr>
          <w:rFonts w:ascii="Cambria" w:hAnsi="Cambria"/>
        </w:rPr>
        <w:t xml:space="preserve">Per the lease agreement, </w:t>
      </w:r>
      <w:r w:rsidR="008B6E43">
        <w:rPr>
          <w:rFonts w:ascii="Cambria" w:hAnsi="Cambria"/>
        </w:rPr>
        <w:t>l</w:t>
      </w:r>
      <w:r w:rsidR="00C60087" w:rsidRPr="00484886">
        <w:rPr>
          <w:rFonts w:ascii="Cambria" w:hAnsi="Cambria"/>
        </w:rPr>
        <w:t>ease payment</w:t>
      </w:r>
      <w:r w:rsidR="00F12617">
        <w:rPr>
          <w:rFonts w:ascii="Cambria" w:hAnsi="Cambria"/>
        </w:rPr>
        <w:t xml:space="preserve"> amounts</w:t>
      </w:r>
      <w:r w:rsidR="00C60087" w:rsidRPr="00484886">
        <w:rPr>
          <w:rFonts w:ascii="Cambria" w:hAnsi="Cambria"/>
        </w:rPr>
        <w:t xml:space="preserve"> are </w:t>
      </w:r>
      <w:r w:rsidR="000F271D">
        <w:rPr>
          <w:rFonts w:ascii="Cambria" w:hAnsi="Cambria"/>
        </w:rPr>
        <w:t>adjusted annually based</w:t>
      </w:r>
      <w:r w:rsidR="00C60087" w:rsidRPr="00484886">
        <w:rPr>
          <w:rFonts w:ascii="Cambria" w:hAnsi="Cambria"/>
        </w:rPr>
        <w:t xml:space="preserve"> on </w:t>
      </w:r>
      <w:r w:rsidR="008B6E43">
        <w:rPr>
          <w:rFonts w:ascii="Cambria" w:hAnsi="Cambria"/>
        </w:rPr>
        <w:t xml:space="preserve">estimated </w:t>
      </w:r>
      <w:r w:rsidR="00C60087" w:rsidRPr="00484886">
        <w:rPr>
          <w:rFonts w:ascii="Cambria" w:hAnsi="Cambria"/>
        </w:rPr>
        <w:t xml:space="preserve">operating cost </w:t>
      </w:r>
      <w:r w:rsidR="00F12617">
        <w:rPr>
          <w:rFonts w:ascii="Cambria" w:hAnsi="Cambria"/>
        </w:rPr>
        <w:t xml:space="preserve">and </w:t>
      </w:r>
      <w:r w:rsidR="00C60087" w:rsidRPr="00484886">
        <w:rPr>
          <w:rFonts w:ascii="Cambria" w:hAnsi="Cambria"/>
        </w:rPr>
        <w:t>real estate tax escalations.</w:t>
      </w:r>
      <w:r w:rsidR="00C60087">
        <w:rPr>
          <w:rFonts w:ascii="Cambria" w:hAnsi="Cambria"/>
        </w:rPr>
        <w:t xml:space="preserve"> </w:t>
      </w:r>
      <w:r w:rsidR="00C60087" w:rsidRPr="00BA3F56">
        <w:rPr>
          <w:rFonts w:ascii="Cambria" w:hAnsi="Cambria"/>
        </w:rPr>
        <w:t xml:space="preserve">The total lease expense relating to this </w:t>
      </w:r>
      <w:r>
        <w:rPr>
          <w:rFonts w:ascii="Cambria" w:hAnsi="Cambria"/>
        </w:rPr>
        <w:t>intragovernmental</w:t>
      </w:r>
      <w:r w:rsidRPr="00BA3F56">
        <w:rPr>
          <w:rFonts w:ascii="Cambria" w:hAnsi="Cambria"/>
        </w:rPr>
        <w:t xml:space="preserve"> </w:t>
      </w:r>
      <w:r w:rsidR="00C60087" w:rsidRPr="00BA3F56">
        <w:rPr>
          <w:rFonts w:ascii="Cambria" w:hAnsi="Cambria"/>
        </w:rPr>
        <w:t>agreement was $</w:t>
      </w:r>
      <w:r>
        <w:rPr>
          <w:rFonts w:ascii="Cambria" w:hAnsi="Cambria"/>
        </w:rPr>
        <w:t>1,02</w:t>
      </w:r>
      <w:r w:rsidR="00E52349">
        <w:rPr>
          <w:rFonts w:ascii="Cambria" w:hAnsi="Cambria"/>
        </w:rPr>
        <w:t>9,065</w:t>
      </w:r>
      <w:r w:rsidR="00735D29">
        <w:rPr>
          <w:rFonts w:ascii="Cambria" w:hAnsi="Cambria"/>
        </w:rPr>
        <w:t xml:space="preserve"> in FY 2025</w:t>
      </w:r>
      <w:r>
        <w:rPr>
          <w:rFonts w:ascii="Cambria" w:hAnsi="Cambria"/>
        </w:rPr>
        <w:t>.</w:t>
      </w:r>
      <w:r w:rsidRPr="00130634" w:rsidDel="00F16166">
        <w:rPr>
          <w:rFonts w:ascii="Cambria" w:hAnsi="Cambria"/>
        </w:rPr>
        <w:t xml:space="preserve"> </w:t>
      </w:r>
      <w:r w:rsidR="00C60087" w:rsidRPr="00BA3F56">
        <w:rPr>
          <w:rFonts w:ascii="Cambria" w:hAnsi="Cambria"/>
        </w:rPr>
        <w:t xml:space="preserve"> </w:t>
      </w:r>
    </w:p>
    <w:p w14:paraId="43DAE3E6" w14:textId="17946880" w:rsidR="00B974DE" w:rsidRDefault="00FA2250" w:rsidP="00FA2250">
      <w:pPr>
        <w:pStyle w:val="BodyText3"/>
        <w:keepNext/>
        <w:keepLines/>
        <w:spacing w:after="240" w:line="276" w:lineRule="auto"/>
        <w:rPr>
          <w:rFonts w:ascii="Cambria" w:eastAsia="Calibri" w:hAnsi="Cambria"/>
          <w:b/>
          <w:bCs/>
        </w:rPr>
      </w:pPr>
      <w:r w:rsidRPr="00FA2250">
        <w:rPr>
          <w:rFonts w:ascii="Cambria" w:eastAsia="Calibri" w:hAnsi="Cambria"/>
          <w:b/>
          <w:bCs/>
          <w:noProof/>
        </w:rPr>
        <w:lastRenderedPageBreak/>
        <w:drawing>
          <wp:anchor distT="0" distB="0" distL="114300" distR="114300" simplePos="0" relativeHeight="252206592" behindDoc="0" locked="0" layoutInCell="1" allowOverlap="1" wp14:anchorId="62233513" wp14:editId="097861DC">
            <wp:simplePos x="0" y="0"/>
            <wp:positionH relativeFrom="column">
              <wp:posOffset>0</wp:posOffset>
            </wp:positionH>
            <wp:positionV relativeFrom="paragraph">
              <wp:posOffset>1143832</wp:posOffset>
            </wp:positionV>
            <wp:extent cx="5943600" cy="1846580"/>
            <wp:effectExtent l="0" t="0" r="0" b="0"/>
            <wp:wrapTopAndBottom/>
            <wp:docPr id="189046246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1846580"/>
                    </a:xfrm>
                    <a:prstGeom prst="rect">
                      <a:avLst/>
                    </a:prstGeom>
                    <a:noFill/>
                    <a:ln>
                      <a:noFill/>
                    </a:ln>
                  </pic:spPr>
                </pic:pic>
              </a:graphicData>
            </a:graphic>
          </wp:anchor>
        </w:drawing>
      </w:r>
      <w:r w:rsidR="00C60087" w:rsidRPr="000C50CC">
        <w:rPr>
          <w:rFonts w:ascii="Cambria" w:hAnsi="Cambria"/>
        </w:rPr>
        <w:t xml:space="preserve">Below is a schedule of </w:t>
      </w:r>
      <w:r w:rsidR="00BA2338">
        <w:rPr>
          <w:rFonts w:ascii="Cambria" w:hAnsi="Cambria"/>
        </w:rPr>
        <w:t xml:space="preserve">estimated </w:t>
      </w:r>
      <w:r w:rsidR="00C60087" w:rsidRPr="000C50CC">
        <w:rPr>
          <w:rFonts w:ascii="Cambria" w:hAnsi="Cambria"/>
        </w:rPr>
        <w:t xml:space="preserve">future payments under a single asset category (building) for the </w:t>
      </w:r>
      <w:r w:rsidR="00BA2338">
        <w:rPr>
          <w:rFonts w:ascii="Cambria" w:hAnsi="Cambria"/>
        </w:rPr>
        <w:t xml:space="preserve">remaining </w:t>
      </w:r>
      <w:r w:rsidR="00C60087" w:rsidRPr="000C50CC">
        <w:rPr>
          <w:rFonts w:ascii="Cambria" w:hAnsi="Cambria"/>
        </w:rPr>
        <w:t>term of the agreement</w:t>
      </w:r>
      <w:r w:rsidR="00BA2338">
        <w:rPr>
          <w:rFonts w:ascii="Cambria" w:hAnsi="Cambria"/>
        </w:rPr>
        <w:t xml:space="preserve">, which is </w:t>
      </w:r>
      <w:r w:rsidR="00F16166">
        <w:rPr>
          <w:rFonts w:ascii="Cambria" w:hAnsi="Cambria"/>
        </w:rPr>
        <w:t xml:space="preserve">three </w:t>
      </w:r>
      <w:r w:rsidR="00BA2338">
        <w:rPr>
          <w:rFonts w:ascii="Cambria" w:hAnsi="Cambria"/>
        </w:rPr>
        <w:t>years</w:t>
      </w:r>
      <w:r w:rsidR="00C60087" w:rsidRPr="000C50CC">
        <w:rPr>
          <w:rFonts w:ascii="Cambria" w:hAnsi="Cambria"/>
        </w:rPr>
        <w:t xml:space="preserve">. </w:t>
      </w:r>
      <w:r w:rsidR="00BA2338">
        <w:rPr>
          <w:rFonts w:ascii="Cambria" w:hAnsi="Cambria"/>
        </w:rPr>
        <w:t xml:space="preserve">PCLOB is unable to anticipate what future lease costs will be beyond that time until a new occupancy agreement for SCIF office space is negotiated </w:t>
      </w:r>
      <w:r w:rsidR="00A1759C">
        <w:rPr>
          <w:rFonts w:ascii="Cambria" w:hAnsi="Cambria"/>
        </w:rPr>
        <w:t xml:space="preserve">sometime prior to the end of </w:t>
      </w:r>
      <w:r w:rsidR="00BA2338">
        <w:rPr>
          <w:rFonts w:ascii="Cambria" w:hAnsi="Cambria"/>
        </w:rPr>
        <w:t>FY 2028. The schedule below</w:t>
      </w:r>
      <w:r w:rsidR="00C60087" w:rsidRPr="000C50CC">
        <w:rPr>
          <w:rFonts w:ascii="Cambria" w:hAnsi="Cambria"/>
        </w:rPr>
        <w:t xml:space="preserve"> does not include estimated payments for leases with annual renewal options.</w:t>
      </w:r>
    </w:p>
    <w:p w14:paraId="544AD3D0" w14:textId="3F453605" w:rsidR="00C60087" w:rsidRPr="000C50CC" w:rsidRDefault="00C60087" w:rsidP="00C60087">
      <w:pPr>
        <w:pStyle w:val="Heading4"/>
      </w:pPr>
      <w:bookmarkStart w:id="124" w:name="_NOTE_8_–"/>
      <w:bookmarkStart w:id="125" w:name="_NOTE_7–_INTER-ENTITY"/>
      <w:bookmarkStart w:id="126" w:name="_NOTE_7_—"/>
      <w:bookmarkEnd w:id="124"/>
      <w:bookmarkEnd w:id="125"/>
      <w:bookmarkEnd w:id="126"/>
      <w:r w:rsidRPr="00E93783">
        <w:t xml:space="preserve">NOTE </w:t>
      </w:r>
      <w:r w:rsidR="00130634">
        <w:t>7</w:t>
      </w:r>
      <w:r w:rsidR="00B82E76">
        <w:t xml:space="preserve"> —</w:t>
      </w:r>
      <w:r w:rsidR="00B82E76" w:rsidRPr="00E93783">
        <w:t xml:space="preserve"> </w:t>
      </w:r>
      <w:r w:rsidRPr="00E93783">
        <w:t>INTER-ENTITY COSTS</w:t>
      </w:r>
    </w:p>
    <w:p w14:paraId="55ACC7C0" w14:textId="69435A52" w:rsidR="00C60087" w:rsidRDefault="00C60087" w:rsidP="00C60087">
      <w:pPr>
        <w:pStyle w:val="BodyText3"/>
        <w:spacing w:after="240" w:line="276" w:lineRule="auto"/>
        <w:rPr>
          <w:rFonts w:ascii="Cambria" w:hAnsi="Cambria"/>
        </w:rPr>
      </w:pPr>
      <w:r w:rsidRPr="000C50CC">
        <w:rPr>
          <w:rFonts w:ascii="Cambria" w:hAnsi="Cambria"/>
        </w:rPr>
        <w:t>PCLOB recognizes certain inter-entity costs for goods and services that are received from other federal entities at no cost or at a cost less than the full cost. Consistent with accounting standards, certain costs of the providing entity that are not fully reimbursed are recognized as imputed cost (included in gross costs in the Statement of Net Cost) and are offset by imputed revenue (in the Statement of Changes in Net Position). Such imputed costs and revenues relate to employee benefits</w:t>
      </w:r>
      <w:r>
        <w:rPr>
          <w:rFonts w:ascii="Cambria" w:hAnsi="Cambria"/>
        </w:rPr>
        <w:t xml:space="preserve"> </w:t>
      </w:r>
      <w:r w:rsidRPr="0025684D">
        <w:rPr>
          <w:rFonts w:ascii="Cambria" w:hAnsi="Cambria"/>
        </w:rPr>
        <w:t>to be settled by the Treasury Judgement Fund</w:t>
      </w:r>
      <w:r w:rsidRPr="00EE464A">
        <w:rPr>
          <w:rFonts w:ascii="Cambria" w:hAnsi="Cambria"/>
        </w:rPr>
        <w:t>. However, unreimbursed costs of goods and services other than those identified are not included in our financial statements.</w:t>
      </w:r>
      <w:r>
        <w:rPr>
          <w:rFonts w:ascii="Cambria" w:hAnsi="Cambria"/>
        </w:rPr>
        <w:t xml:space="preserve"> </w:t>
      </w:r>
    </w:p>
    <w:p w14:paraId="6077EDE2" w14:textId="5C91F858" w:rsidR="00C60087" w:rsidRDefault="00FA2250" w:rsidP="004B1CA0">
      <w:pPr>
        <w:pStyle w:val="BodyText3"/>
        <w:spacing w:after="240" w:line="276" w:lineRule="auto"/>
        <w:rPr>
          <w:rFonts w:ascii="Cambria" w:hAnsi="Cambria"/>
        </w:rPr>
      </w:pPr>
      <w:r w:rsidRPr="00FA2250">
        <w:rPr>
          <w:rFonts w:ascii="Cambria" w:hAnsi="Cambria"/>
          <w:noProof/>
        </w:rPr>
        <w:drawing>
          <wp:anchor distT="0" distB="0" distL="114300" distR="114300" simplePos="0" relativeHeight="252207616" behindDoc="0" locked="0" layoutInCell="1" allowOverlap="1" wp14:anchorId="0CEBAA51" wp14:editId="73D7E616">
            <wp:simplePos x="0" y="0"/>
            <wp:positionH relativeFrom="column">
              <wp:posOffset>0</wp:posOffset>
            </wp:positionH>
            <wp:positionV relativeFrom="paragraph">
              <wp:posOffset>893445</wp:posOffset>
            </wp:positionV>
            <wp:extent cx="5943600" cy="1087120"/>
            <wp:effectExtent l="0" t="0" r="0" b="0"/>
            <wp:wrapTopAndBottom/>
            <wp:docPr id="13708276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1087120"/>
                    </a:xfrm>
                    <a:prstGeom prst="rect">
                      <a:avLst/>
                    </a:prstGeom>
                    <a:noFill/>
                    <a:ln>
                      <a:noFill/>
                    </a:ln>
                  </pic:spPr>
                </pic:pic>
              </a:graphicData>
            </a:graphic>
          </wp:anchor>
        </w:drawing>
      </w:r>
      <w:r w:rsidR="00C60087" w:rsidRPr="000C50CC">
        <w:rPr>
          <w:rFonts w:ascii="Cambria" w:hAnsi="Cambria"/>
        </w:rPr>
        <w:t xml:space="preserve">PCLOB recognizes as inter-entity costs the amount of accrued pension and post-retirement benefit expenses for current employees. The assets and liabilities associated with such benefits are the responsibility of the administering agency, OPM. For the </w:t>
      </w:r>
      <w:r w:rsidR="00E42F5F">
        <w:rPr>
          <w:rFonts w:ascii="Cambria" w:hAnsi="Cambria"/>
        </w:rPr>
        <w:t>fiscal year</w:t>
      </w:r>
      <w:r w:rsidR="00E42F5F" w:rsidRPr="000C50CC">
        <w:rPr>
          <w:rFonts w:ascii="Cambria" w:hAnsi="Cambria"/>
        </w:rPr>
        <w:t xml:space="preserve"> </w:t>
      </w:r>
      <w:proofErr w:type="gramStart"/>
      <w:r w:rsidR="00C60087" w:rsidRPr="000C50CC">
        <w:rPr>
          <w:rFonts w:ascii="Cambria" w:hAnsi="Cambria"/>
        </w:rPr>
        <w:t>ended</w:t>
      </w:r>
      <w:proofErr w:type="gramEnd"/>
      <w:r w:rsidR="00C60087" w:rsidRPr="000C50CC">
        <w:rPr>
          <w:rFonts w:ascii="Cambria" w:hAnsi="Cambria"/>
        </w:rPr>
        <w:t xml:space="preserve"> September 30, </w:t>
      </w:r>
      <w:r w:rsidR="0049075B">
        <w:rPr>
          <w:rFonts w:ascii="Cambria" w:hAnsi="Cambria"/>
        </w:rPr>
        <w:t>2025</w:t>
      </w:r>
      <w:r w:rsidR="00C60087" w:rsidRPr="000C50CC">
        <w:rPr>
          <w:rFonts w:ascii="Cambria" w:hAnsi="Cambria"/>
        </w:rPr>
        <w:t>, inter-entity costs were as follows:</w:t>
      </w:r>
    </w:p>
    <w:p w14:paraId="6190BF0C" w14:textId="64DF13BE" w:rsidR="004B1CA0" w:rsidRDefault="004B1CA0" w:rsidP="00210A53">
      <w:pPr>
        <w:pStyle w:val="BodyText3"/>
        <w:spacing w:after="240" w:line="276" w:lineRule="auto"/>
        <w:rPr>
          <w:rFonts w:ascii="Cambria" w:hAnsi="Cambria"/>
        </w:rPr>
      </w:pPr>
    </w:p>
    <w:p w14:paraId="73EDEED6" w14:textId="29B9338A" w:rsidR="00C60087" w:rsidRPr="0028136B" w:rsidRDefault="00C60087" w:rsidP="00210A53">
      <w:pPr>
        <w:pStyle w:val="Heading4"/>
        <w:keepNext/>
        <w:keepLines/>
      </w:pPr>
      <w:bookmarkStart w:id="127" w:name="_NOTE_8_–UNOBLIGATED"/>
      <w:bookmarkStart w:id="128" w:name="_NOTE_8_—"/>
      <w:bookmarkEnd w:id="127"/>
      <w:bookmarkEnd w:id="128"/>
      <w:r w:rsidRPr="0028136B">
        <w:lastRenderedPageBreak/>
        <w:t xml:space="preserve">NOTE </w:t>
      </w:r>
      <w:r w:rsidR="00130634" w:rsidRPr="0028136B">
        <w:t>8</w:t>
      </w:r>
      <w:r w:rsidRPr="0028136B">
        <w:t xml:space="preserve"> </w:t>
      </w:r>
      <w:r w:rsidR="00B82E76">
        <w:t xml:space="preserve">— </w:t>
      </w:r>
      <w:r w:rsidRPr="0028136B">
        <w:t xml:space="preserve">UNOBLIGATED BALANCE FROM PRIOR YEAR BUDGET AUTHORITY, </w:t>
      </w:r>
      <w:r w:rsidR="004B1CA0" w:rsidRPr="0028136B">
        <w:t>NET</w:t>
      </w:r>
    </w:p>
    <w:p w14:paraId="09F06BA0" w14:textId="2AAD92B3" w:rsidR="00C60087" w:rsidRPr="0028136B" w:rsidRDefault="00A7694E" w:rsidP="00210A53">
      <w:pPr>
        <w:pStyle w:val="Cambriabold"/>
        <w:keepNext/>
        <w:keepLines/>
        <w:spacing w:before="0" w:line="276" w:lineRule="auto"/>
        <w:rPr>
          <w:b w:val="0"/>
          <w:bCs w:val="0"/>
        </w:rPr>
      </w:pPr>
      <w:r w:rsidRPr="00A7694E">
        <w:rPr>
          <w:b w:val="0"/>
          <w:bCs w:val="0"/>
          <w:noProof/>
        </w:rPr>
        <w:drawing>
          <wp:anchor distT="0" distB="0" distL="114300" distR="114300" simplePos="0" relativeHeight="252208640" behindDoc="0" locked="0" layoutInCell="1" allowOverlap="1" wp14:anchorId="30B1FA68" wp14:editId="2D9AF1F5">
            <wp:simplePos x="0" y="0"/>
            <wp:positionH relativeFrom="column">
              <wp:posOffset>0</wp:posOffset>
            </wp:positionH>
            <wp:positionV relativeFrom="paragraph">
              <wp:posOffset>1059683</wp:posOffset>
            </wp:positionV>
            <wp:extent cx="5943600" cy="1866900"/>
            <wp:effectExtent l="0" t="0" r="0" b="0"/>
            <wp:wrapTopAndBottom/>
            <wp:docPr id="189402854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1866900"/>
                    </a:xfrm>
                    <a:prstGeom prst="rect">
                      <a:avLst/>
                    </a:prstGeom>
                    <a:noFill/>
                    <a:ln>
                      <a:noFill/>
                    </a:ln>
                  </pic:spPr>
                </pic:pic>
              </a:graphicData>
            </a:graphic>
          </wp:anchor>
        </w:drawing>
      </w:r>
      <w:r w:rsidR="004B1CA0" w:rsidRPr="0028136B">
        <w:rPr>
          <w:b w:val="0"/>
          <w:bCs w:val="0"/>
          <w:noProof/>
        </w:rPr>
        <w:t>T</w:t>
      </w:r>
      <w:r w:rsidR="00C60087" w:rsidRPr="0028136B">
        <w:rPr>
          <w:b w:val="0"/>
          <w:bCs w:val="0"/>
        </w:rPr>
        <w:t xml:space="preserve">he </w:t>
      </w:r>
      <w:r w:rsidR="00210A53" w:rsidRPr="0028136B">
        <w:rPr>
          <w:b w:val="0"/>
          <w:bCs w:val="0"/>
        </w:rPr>
        <w:t>u</w:t>
      </w:r>
      <w:r w:rsidR="00C60087" w:rsidRPr="0028136B">
        <w:rPr>
          <w:b w:val="0"/>
          <w:bCs w:val="0"/>
        </w:rPr>
        <w:t xml:space="preserve">nobligated </w:t>
      </w:r>
      <w:r w:rsidR="00210A53" w:rsidRPr="0028136B">
        <w:rPr>
          <w:b w:val="0"/>
          <w:bCs w:val="0"/>
        </w:rPr>
        <w:t>b</w:t>
      </w:r>
      <w:r w:rsidR="00C60087" w:rsidRPr="0028136B">
        <w:rPr>
          <w:b w:val="0"/>
          <w:bCs w:val="0"/>
        </w:rPr>
        <w:t xml:space="preserve">alance </w:t>
      </w:r>
      <w:r w:rsidR="00210A53" w:rsidRPr="0028136B">
        <w:rPr>
          <w:b w:val="0"/>
          <w:bCs w:val="0"/>
        </w:rPr>
        <w:t>b</w:t>
      </w:r>
      <w:r w:rsidR="00C60087" w:rsidRPr="0028136B">
        <w:rPr>
          <w:b w:val="0"/>
          <w:bCs w:val="0"/>
        </w:rPr>
        <w:t xml:space="preserve">rought </w:t>
      </w:r>
      <w:r w:rsidR="00210A53" w:rsidRPr="0028136B">
        <w:rPr>
          <w:b w:val="0"/>
          <w:bCs w:val="0"/>
        </w:rPr>
        <w:t>f</w:t>
      </w:r>
      <w:r w:rsidR="00C60087" w:rsidRPr="0028136B">
        <w:rPr>
          <w:b w:val="0"/>
          <w:bCs w:val="0"/>
        </w:rPr>
        <w:t>orward</w:t>
      </w:r>
      <w:r w:rsidR="0027112D" w:rsidRPr="0028136B">
        <w:rPr>
          <w:b w:val="0"/>
          <w:bCs w:val="0"/>
        </w:rPr>
        <w:t xml:space="preserve"> from the prior fiscal year,</w:t>
      </w:r>
      <w:r w:rsidR="00C60087" w:rsidRPr="0028136B">
        <w:rPr>
          <w:b w:val="0"/>
          <w:bCs w:val="0"/>
        </w:rPr>
        <w:t xml:space="preserve"> as reported </w:t>
      </w:r>
      <w:proofErr w:type="gramStart"/>
      <w:r w:rsidR="00C60087" w:rsidRPr="0028136B">
        <w:rPr>
          <w:b w:val="0"/>
          <w:bCs w:val="0"/>
        </w:rPr>
        <w:t>on</w:t>
      </w:r>
      <w:proofErr w:type="gramEnd"/>
      <w:r w:rsidR="00C60087" w:rsidRPr="0028136B">
        <w:rPr>
          <w:b w:val="0"/>
          <w:bCs w:val="0"/>
        </w:rPr>
        <w:t xml:space="preserve"> the Statement of Budgetary Resources</w:t>
      </w:r>
      <w:r w:rsidR="0027112D" w:rsidRPr="0028136B">
        <w:rPr>
          <w:b w:val="0"/>
          <w:bCs w:val="0"/>
        </w:rPr>
        <w:t>,</w:t>
      </w:r>
      <w:r w:rsidR="00C60087" w:rsidRPr="0028136B">
        <w:rPr>
          <w:b w:val="0"/>
          <w:bCs w:val="0"/>
        </w:rPr>
        <w:t xml:space="preserve"> has been adjusted for recoveries of prior year paid and </w:t>
      </w:r>
      <w:r w:rsidR="0027112D" w:rsidRPr="0028136B">
        <w:rPr>
          <w:b w:val="0"/>
          <w:bCs w:val="0"/>
        </w:rPr>
        <w:t>un</w:t>
      </w:r>
      <w:r w:rsidR="00C60087" w:rsidRPr="0028136B">
        <w:rPr>
          <w:b w:val="0"/>
          <w:bCs w:val="0"/>
        </w:rPr>
        <w:t xml:space="preserve">paid obligations and </w:t>
      </w:r>
      <w:r w:rsidR="0027112D" w:rsidRPr="0028136B">
        <w:rPr>
          <w:b w:val="0"/>
          <w:bCs w:val="0"/>
        </w:rPr>
        <w:t xml:space="preserve">other changes such as </w:t>
      </w:r>
      <w:r w:rsidR="00C60087" w:rsidRPr="0028136B">
        <w:rPr>
          <w:b w:val="0"/>
          <w:bCs w:val="0"/>
        </w:rPr>
        <w:t xml:space="preserve">cancelled authority. The Adjustments to Unobligated Balance Brought Forward, October 1, as of September 30, </w:t>
      </w:r>
      <w:r w:rsidR="0049075B" w:rsidRPr="0028136B">
        <w:rPr>
          <w:b w:val="0"/>
          <w:bCs w:val="0"/>
        </w:rPr>
        <w:t>2025</w:t>
      </w:r>
      <w:r w:rsidR="0027112D" w:rsidRPr="0028136B">
        <w:rPr>
          <w:b w:val="0"/>
          <w:bCs w:val="0"/>
        </w:rPr>
        <w:t>,</w:t>
      </w:r>
      <w:r w:rsidR="00C60087" w:rsidRPr="0028136B">
        <w:rPr>
          <w:b w:val="0"/>
          <w:bCs w:val="0"/>
        </w:rPr>
        <w:t xml:space="preserve"> consisted of the following:</w:t>
      </w:r>
    </w:p>
    <w:p w14:paraId="07687E8C" w14:textId="2F318EA1" w:rsidR="00B974DE" w:rsidRPr="0028136B" w:rsidRDefault="00B974DE" w:rsidP="00B974DE">
      <w:pPr>
        <w:pStyle w:val="Cambriabold"/>
        <w:spacing w:before="0" w:line="276" w:lineRule="auto"/>
        <w:rPr>
          <w:b w:val="0"/>
          <w:bCs w:val="0"/>
        </w:rPr>
      </w:pPr>
      <w:r w:rsidRPr="0028136B">
        <w:rPr>
          <w:b w:val="0"/>
          <w:bCs w:val="0"/>
        </w:rPr>
        <w:t>The most considerable adjustment to the agency’s unobligated balance from prior year authority is the cancellation of budget authority (which was $</w:t>
      </w:r>
      <w:r w:rsidR="0027112D" w:rsidRPr="0028136B">
        <w:rPr>
          <w:b w:val="0"/>
          <w:bCs w:val="0"/>
        </w:rPr>
        <w:t>331,422</w:t>
      </w:r>
      <w:r w:rsidR="0027112D" w:rsidRPr="0028136B" w:rsidDel="0027112D">
        <w:rPr>
          <w:b w:val="0"/>
          <w:bCs w:val="0"/>
        </w:rPr>
        <w:t xml:space="preserve"> </w:t>
      </w:r>
      <w:r w:rsidR="0027112D" w:rsidRPr="0028136B">
        <w:rPr>
          <w:b w:val="0"/>
          <w:bCs w:val="0"/>
        </w:rPr>
        <w:t>as o</w:t>
      </w:r>
      <w:r w:rsidRPr="0028136B">
        <w:rPr>
          <w:b w:val="0"/>
          <w:bCs w:val="0"/>
        </w:rPr>
        <w:t xml:space="preserve">f September 30, </w:t>
      </w:r>
      <w:r w:rsidR="0049075B" w:rsidRPr="0028136B">
        <w:rPr>
          <w:b w:val="0"/>
          <w:bCs w:val="0"/>
        </w:rPr>
        <w:t>2025</w:t>
      </w:r>
      <w:r w:rsidRPr="0028136B">
        <w:rPr>
          <w:b w:val="0"/>
          <w:bCs w:val="0"/>
        </w:rPr>
        <w:t xml:space="preserve">). </w:t>
      </w:r>
      <w:r w:rsidR="0027112D" w:rsidRPr="0028136B">
        <w:rPr>
          <w:b w:val="0"/>
          <w:bCs w:val="0"/>
        </w:rPr>
        <w:t>O</w:t>
      </w:r>
      <w:r w:rsidR="00C60087" w:rsidRPr="0028136B">
        <w:rPr>
          <w:b w:val="0"/>
          <w:bCs w:val="0"/>
        </w:rPr>
        <w:t xml:space="preserve">bligated funds remain available for a five-year period </w:t>
      </w:r>
      <w:r w:rsidR="00C139C3" w:rsidRPr="0028136B">
        <w:rPr>
          <w:b w:val="0"/>
          <w:bCs w:val="0"/>
        </w:rPr>
        <w:t xml:space="preserve">after their period of availability expired, which is two years for PCLOB appropriations. </w:t>
      </w:r>
      <w:r w:rsidR="0027112D" w:rsidRPr="0028136B">
        <w:rPr>
          <w:b w:val="0"/>
          <w:bCs w:val="0"/>
        </w:rPr>
        <w:t>A</w:t>
      </w:r>
      <w:r w:rsidR="00C60087" w:rsidRPr="0028136B">
        <w:rPr>
          <w:b w:val="0"/>
          <w:bCs w:val="0"/>
        </w:rPr>
        <w:t xml:space="preserve">fter the passage of five years, however, the expired funds became unavailable for any purpose and </w:t>
      </w:r>
      <w:r w:rsidR="0027112D" w:rsidRPr="0028136B">
        <w:rPr>
          <w:b w:val="0"/>
          <w:bCs w:val="0"/>
        </w:rPr>
        <w:t xml:space="preserve">are </w:t>
      </w:r>
      <w:r w:rsidR="00C60087" w:rsidRPr="0028136B">
        <w:rPr>
          <w:b w:val="0"/>
          <w:bCs w:val="0"/>
        </w:rPr>
        <w:t xml:space="preserve">required to be returned to Treasury. </w:t>
      </w:r>
      <w:bookmarkStart w:id="129" w:name="_NOTE_10_–"/>
      <w:bookmarkEnd w:id="129"/>
    </w:p>
    <w:p w14:paraId="63278209" w14:textId="6D6F0776" w:rsidR="00C60087" w:rsidRPr="0028136B" w:rsidRDefault="00C60087" w:rsidP="007D3F77">
      <w:pPr>
        <w:pStyle w:val="Heading4"/>
      </w:pPr>
      <w:bookmarkStart w:id="130" w:name="_NOTE_9_–"/>
      <w:bookmarkEnd w:id="130"/>
      <w:r w:rsidRPr="0028136B">
        <w:t xml:space="preserve">NOTE </w:t>
      </w:r>
      <w:r w:rsidR="00192126" w:rsidRPr="0028136B">
        <w:t xml:space="preserve">9 </w:t>
      </w:r>
      <w:r w:rsidR="00B82E76">
        <w:t>—</w:t>
      </w:r>
      <w:r w:rsidR="00B82E76" w:rsidRPr="0028136B">
        <w:t xml:space="preserve"> </w:t>
      </w:r>
      <w:r w:rsidRPr="0028136B">
        <w:t>UNDELIVERED ORDERS AT THE END OF THE PERIOD</w:t>
      </w:r>
    </w:p>
    <w:p w14:paraId="7DB48CF3" w14:textId="224A3612" w:rsidR="00C60087" w:rsidRPr="0028136B" w:rsidRDefault="00C60087" w:rsidP="00C60087">
      <w:pPr>
        <w:spacing w:line="276" w:lineRule="auto"/>
        <w:jc w:val="both"/>
        <w:rPr>
          <w:rFonts w:ascii="Cambria" w:hAnsi="Cambria"/>
          <w:bCs/>
          <w:sz w:val="24"/>
          <w:szCs w:val="24"/>
        </w:rPr>
      </w:pPr>
      <w:r w:rsidRPr="0028136B">
        <w:rPr>
          <w:rFonts w:ascii="Cambria" w:hAnsi="Cambria"/>
          <w:bCs/>
          <w:sz w:val="24"/>
          <w:szCs w:val="24"/>
        </w:rPr>
        <w:t>Undelivered orders represent the amount of goods and/or services ordered, which have not been actually or constructively received. This amount includes any orders which may have been prepaid or advanced but for which delivery or performance has not yet occurred.</w:t>
      </w:r>
    </w:p>
    <w:p w14:paraId="439BF6CE" w14:textId="57B7D1D8" w:rsidR="00192126" w:rsidRPr="0028136B" w:rsidRDefault="00A7694E" w:rsidP="00C60087">
      <w:pPr>
        <w:spacing w:before="240" w:after="0" w:line="276" w:lineRule="auto"/>
        <w:jc w:val="both"/>
        <w:rPr>
          <w:rFonts w:ascii="Cambria" w:hAnsi="Cambria"/>
          <w:sz w:val="24"/>
          <w:szCs w:val="24"/>
        </w:rPr>
      </w:pPr>
      <w:r w:rsidRPr="00A7694E">
        <w:rPr>
          <w:rFonts w:ascii="Cambria" w:hAnsi="Cambria"/>
          <w:noProof/>
        </w:rPr>
        <w:drawing>
          <wp:anchor distT="0" distB="0" distL="114300" distR="114300" simplePos="0" relativeHeight="252209664" behindDoc="0" locked="0" layoutInCell="1" allowOverlap="1" wp14:anchorId="74D9B100" wp14:editId="16CEE7F1">
            <wp:simplePos x="0" y="0"/>
            <wp:positionH relativeFrom="column">
              <wp:posOffset>0</wp:posOffset>
            </wp:positionH>
            <wp:positionV relativeFrom="paragraph">
              <wp:posOffset>530357</wp:posOffset>
            </wp:positionV>
            <wp:extent cx="5943600" cy="1343025"/>
            <wp:effectExtent l="0" t="0" r="0" b="0"/>
            <wp:wrapTopAndBottom/>
            <wp:docPr id="26050007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1343025"/>
                    </a:xfrm>
                    <a:prstGeom prst="rect">
                      <a:avLst/>
                    </a:prstGeom>
                    <a:noFill/>
                    <a:ln>
                      <a:noFill/>
                    </a:ln>
                  </pic:spPr>
                </pic:pic>
              </a:graphicData>
            </a:graphic>
          </wp:anchor>
        </w:drawing>
      </w:r>
      <w:r w:rsidR="00192126" w:rsidRPr="0028136B">
        <w:rPr>
          <w:rFonts w:ascii="Cambria" w:hAnsi="Cambria"/>
          <w:sz w:val="24"/>
          <w:szCs w:val="24"/>
        </w:rPr>
        <w:t xml:space="preserve">Budgetary resources obligated for undelivered orders as of September 30, </w:t>
      </w:r>
      <w:r w:rsidR="0049075B" w:rsidRPr="0028136B">
        <w:rPr>
          <w:rFonts w:ascii="Cambria" w:hAnsi="Cambria"/>
          <w:sz w:val="24"/>
          <w:szCs w:val="24"/>
        </w:rPr>
        <w:t>2025</w:t>
      </w:r>
      <w:r w:rsidR="00A04776" w:rsidRPr="0028136B">
        <w:rPr>
          <w:rFonts w:ascii="Cambria" w:hAnsi="Cambria"/>
          <w:sz w:val="24"/>
          <w:szCs w:val="24"/>
        </w:rPr>
        <w:t>,</w:t>
      </w:r>
      <w:r w:rsidR="00192126" w:rsidRPr="0028136B">
        <w:rPr>
          <w:rFonts w:ascii="Cambria" w:hAnsi="Cambria"/>
          <w:sz w:val="24"/>
          <w:szCs w:val="24"/>
        </w:rPr>
        <w:t xml:space="preserve"> were as follows:</w:t>
      </w:r>
    </w:p>
    <w:p w14:paraId="69F18145" w14:textId="3A34EFF1" w:rsidR="006465FF" w:rsidRPr="0028136B" w:rsidRDefault="006465FF">
      <w:pPr>
        <w:rPr>
          <w:rFonts w:ascii="Cambria" w:eastAsia="Calibri" w:hAnsi="Cambria" w:cs="Times New Roman"/>
          <w:b/>
          <w:bCs/>
          <w:sz w:val="24"/>
          <w:szCs w:val="24"/>
        </w:rPr>
      </w:pPr>
      <w:bookmarkStart w:id="131" w:name="_NOTE_11_–"/>
      <w:bookmarkEnd w:id="131"/>
      <w:r w:rsidRPr="0028136B">
        <w:rPr>
          <w:rFonts w:ascii="Cambria" w:hAnsi="Cambria"/>
        </w:rPr>
        <w:br w:type="page"/>
      </w:r>
    </w:p>
    <w:p w14:paraId="77B94331" w14:textId="415B0062" w:rsidR="00C60087" w:rsidRPr="0028136B" w:rsidRDefault="00C60087" w:rsidP="00C60087">
      <w:pPr>
        <w:pStyle w:val="Heading4"/>
      </w:pPr>
      <w:bookmarkStart w:id="132" w:name="_NOTE_10_–_1"/>
      <w:bookmarkEnd w:id="132"/>
      <w:r w:rsidRPr="0028136B">
        <w:lastRenderedPageBreak/>
        <w:t>NOTE 1</w:t>
      </w:r>
      <w:r w:rsidR="00192126" w:rsidRPr="0028136B">
        <w:t>0</w:t>
      </w:r>
      <w:r w:rsidRPr="0028136B">
        <w:t xml:space="preserve"> </w:t>
      </w:r>
      <w:r w:rsidR="00B82E76">
        <w:t>—</w:t>
      </w:r>
      <w:r w:rsidR="00B82E76" w:rsidRPr="0028136B">
        <w:t xml:space="preserve"> </w:t>
      </w:r>
      <w:r w:rsidRPr="0028136B">
        <w:t>EXPLANATION OF DIFFERENCES BETWEEN THE STATEMENT OF BUDGETARY RESOURCES AND THE BUDGET OF THE U.S. GOVERNMENT</w:t>
      </w:r>
    </w:p>
    <w:p w14:paraId="19539C46" w14:textId="43456E4C" w:rsidR="00C60087" w:rsidRPr="0028136B" w:rsidRDefault="00A7694E" w:rsidP="00C60087">
      <w:pPr>
        <w:pStyle w:val="BodyText3"/>
        <w:keepNext/>
        <w:keepLines/>
        <w:spacing w:line="276" w:lineRule="auto"/>
        <w:rPr>
          <w:rFonts w:ascii="Cambria" w:hAnsi="Cambria"/>
        </w:rPr>
      </w:pPr>
      <w:r w:rsidRPr="00A7694E">
        <w:rPr>
          <w:noProof/>
        </w:rPr>
        <w:drawing>
          <wp:anchor distT="0" distB="0" distL="114300" distR="114300" simplePos="0" relativeHeight="252210688" behindDoc="0" locked="0" layoutInCell="1" allowOverlap="1" wp14:anchorId="5E3F5FC8" wp14:editId="170ABE30">
            <wp:simplePos x="0" y="0"/>
            <wp:positionH relativeFrom="column">
              <wp:posOffset>0</wp:posOffset>
            </wp:positionH>
            <wp:positionV relativeFrom="paragraph">
              <wp:posOffset>1099185</wp:posOffset>
            </wp:positionV>
            <wp:extent cx="5943600" cy="1499870"/>
            <wp:effectExtent l="0" t="0" r="0" b="0"/>
            <wp:wrapTopAndBottom/>
            <wp:docPr id="154572421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1499870"/>
                    </a:xfrm>
                    <a:prstGeom prst="rect">
                      <a:avLst/>
                    </a:prstGeom>
                    <a:noFill/>
                    <a:ln>
                      <a:noFill/>
                    </a:ln>
                  </pic:spPr>
                </pic:pic>
              </a:graphicData>
            </a:graphic>
          </wp:anchor>
        </w:drawing>
      </w:r>
      <w:r w:rsidR="00C60087" w:rsidRPr="0028136B">
        <w:rPr>
          <w:rFonts w:ascii="Cambria" w:hAnsi="Cambria"/>
        </w:rPr>
        <w:t xml:space="preserve">The President’s Budget that will include fiscal year </w:t>
      </w:r>
      <w:r w:rsidR="0049075B" w:rsidRPr="0028136B">
        <w:rPr>
          <w:rFonts w:ascii="Cambria" w:hAnsi="Cambria"/>
        </w:rPr>
        <w:t>2025</w:t>
      </w:r>
      <w:r w:rsidR="00C60087" w:rsidRPr="0028136B">
        <w:rPr>
          <w:rFonts w:ascii="Cambria" w:hAnsi="Cambria"/>
        </w:rPr>
        <w:t xml:space="preserve"> actual budgetary execution information has not yet been published. The President’s Budget is scheduled for publication in February </w:t>
      </w:r>
      <w:r w:rsidR="0049075B" w:rsidRPr="0028136B">
        <w:rPr>
          <w:rFonts w:ascii="Cambria" w:hAnsi="Cambria"/>
        </w:rPr>
        <w:t>202</w:t>
      </w:r>
      <w:r w:rsidR="008C5AF2" w:rsidRPr="0028136B">
        <w:rPr>
          <w:rFonts w:ascii="Cambria" w:hAnsi="Cambria"/>
        </w:rPr>
        <w:t>6</w:t>
      </w:r>
      <w:r w:rsidR="00C60087" w:rsidRPr="0028136B">
        <w:rPr>
          <w:rFonts w:ascii="Cambria" w:hAnsi="Cambria"/>
        </w:rPr>
        <w:t xml:space="preserve"> and can be found </w:t>
      </w:r>
      <w:hyperlink r:id="rId122" w:history="1">
        <w:r w:rsidR="00155071" w:rsidRPr="00155071">
          <w:rPr>
            <w:rStyle w:val="Hyperlink"/>
            <w:rFonts w:ascii="Cambria" w:hAnsi="Cambria"/>
          </w:rPr>
          <w:t>here</w:t>
        </w:r>
      </w:hyperlink>
      <w:r w:rsidR="00155071">
        <w:rPr>
          <w:rFonts w:ascii="Cambria" w:hAnsi="Cambria"/>
        </w:rPr>
        <w:t xml:space="preserve">. </w:t>
      </w:r>
      <w:r w:rsidR="00C60087" w:rsidRPr="0028136B">
        <w:rPr>
          <w:rFonts w:ascii="Cambria" w:hAnsi="Cambria"/>
        </w:rPr>
        <w:t xml:space="preserve">The </w:t>
      </w:r>
      <w:r w:rsidR="008C5AF2" w:rsidRPr="0028136B">
        <w:rPr>
          <w:rFonts w:ascii="Cambria" w:hAnsi="Cambria"/>
        </w:rPr>
        <w:t xml:space="preserve">Fiscal Year </w:t>
      </w:r>
      <w:r w:rsidR="0049075B" w:rsidRPr="0028136B">
        <w:rPr>
          <w:rFonts w:ascii="Cambria" w:hAnsi="Cambria"/>
        </w:rPr>
        <w:t>202</w:t>
      </w:r>
      <w:r w:rsidR="008C5AF2" w:rsidRPr="0028136B">
        <w:rPr>
          <w:rFonts w:ascii="Cambria" w:hAnsi="Cambria"/>
        </w:rPr>
        <w:t>6</w:t>
      </w:r>
      <w:r w:rsidR="00C60087" w:rsidRPr="0028136B">
        <w:rPr>
          <w:rFonts w:ascii="Cambria" w:hAnsi="Cambria"/>
        </w:rPr>
        <w:t xml:space="preserve"> Budget of the U.S. Government, with the </w:t>
      </w:r>
      <w:r w:rsidR="00D56085" w:rsidRPr="0028136B">
        <w:rPr>
          <w:rFonts w:ascii="Cambria" w:hAnsi="Cambria"/>
        </w:rPr>
        <w:t>“</w:t>
      </w:r>
      <w:r w:rsidR="00C60087" w:rsidRPr="0028136B">
        <w:rPr>
          <w:rFonts w:ascii="Cambria" w:hAnsi="Cambria"/>
        </w:rPr>
        <w:t>Actual</w:t>
      </w:r>
      <w:r w:rsidR="00D56085" w:rsidRPr="0028136B">
        <w:rPr>
          <w:rFonts w:ascii="Cambria" w:hAnsi="Cambria"/>
        </w:rPr>
        <w:t>”</w:t>
      </w:r>
      <w:r w:rsidR="00C60087" w:rsidRPr="0028136B">
        <w:rPr>
          <w:rFonts w:ascii="Cambria" w:hAnsi="Cambria"/>
        </w:rPr>
        <w:t xml:space="preserve"> column completed for </w:t>
      </w:r>
      <w:r w:rsidR="00BF4473" w:rsidRPr="0028136B">
        <w:rPr>
          <w:rFonts w:ascii="Cambria" w:hAnsi="Cambria"/>
        </w:rPr>
        <w:t>202</w:t>
      </w:r>
      <w:r w:rsidR="008C5AF2" w:rsidRPr="0028136B">
        <w:rPr>
          <w:rFonts w:ascii="Cambria" w:hAnsi="Cambria"/>
        </w:rPr>
        <w:t>4</w:t>
      </w:r>
      <w:r w:rsidR="00C60087" w:rsidRPr="0028136B">
        <w:rPr>
          <w:rFonts w:ascii="Cambria" w:hAnsi="Cambria"/>
        </w:rPr>
        <w:t xml:space="preserve">, has been reconciled to the Statement of Budgetary Resources and there were no material differences. </w:t>
      </w:r>
    </w:p>
    <w:p w14:paraId="379EEB71" w14:textId="70AED0C3" w:rsidR="00C60087" w:rsidRPr="00C117FD" w:rsidRDefault="00C60087" w:rsidP="00A7694E">
      <w:pPr>
        <w:pStyle w:val="Heading4"/>
        <w:spacing w:before="0"/>
      </w:pPr>
      <w:bookmarkStart w:id="133" w:name="_NOTE_11_–_1"/>
      <w:bookmarkStart w:id="134" w:name="_Hlk149378710"/>
      <w:bookmarkEnd w:id="133"/>
      <w:r w:rsidRPr="00AF54C1">
        <w:t>NOTE 1</w:t>
      </w:r>
      <w:r w:rsidR="00192126">
        <w:t>1</w:t>
      </w:r>
      <w:r w:rsidRPr="00AF54C1">
        <w:t xml:space="preserve"> </w:t>
      </w:r>
      <w:r w:rsidR="00B82E76">
        <w:t>—</w:t>
      </w:r>
      <w:r w:rsidR="00B82E76" w:rsidRPr="00AF54C1">
        <w:t xml:space="preserve"> </w:t>
      </w:r>
      <w:r w:rsidRPr="00AF54C1">
        <w:t>RECONCILIATION OF NET COST TO NET</w:t>
      </w:r>
      <w:r w:rsidR="00F90449">
        <w:t xml:space="preserve"> BUDGETARY</w:t>
      </w:r>
      <w:r w:rsidRPr="00AF54C1">
        <w:t xml:space="preserve"> OUTLAYS </w:t>
      </w:r>
      <w:bookmarkEnd w:id="134"/>
    </w:p>
    <w:p w14:paraId="66BB28DD" w14:textId="628273F0" w:rsidR="00C60087" w:rsidRPr="001557DD" w:rsidRDefault="001557DD" w:rsidP="001557DD">
      <w:pPr>
        <w:spacing w:after="0" w:line="276" w:lineRule="auto"/>
        <w:jc w:val="both"/>
        <w:rPr>
          <w:rFonts w:ascii="Cambria" w:hAnsi="Cambria"/>
          <w:sz w:val="24"/>
          <w:szCs w:val="24"/>
        </w:rPr>
      </w:pPr>
      <w:r w:rsidRPr="002D2C6C">
        <w:rPr>
          <w:rFonts w:ascii="Cambria" w:hAnsi="Cambria"/>
          <w:sz w:val="24"/>
          <w:szCs w:val="24"/>
        </w:rPr>
        <w:t xml:space="preserve">Budgetary and financial accounting information differ. Budgetary accounting is used for planning </w:t>
      </w:r>
      <w:r w:rsidRPr="001557DD">
        <w:rPr>
          <w:rFonts w:ascii="Cambria" w:hAnsi="Cambria"/>
          <w:sz w:val="24"/>
          <w:szCs w:val="24"/>
        </w:rPr>
        <w:t>and control purposes and relates to both the receipt and use of cash, as well as reporting the federal deficit. Financial accounting is intended to provide a picture of the government</w:t>
      </w:r>
      <w:r w:rsidR="00D56085">
        <w:rPr>
          <w:rFonts w:ascii="Cambria" w:hAnsi="Cambria"/>
          <w:sz w:val="24"/>
          <w:szCs w:val="24"/>
        </w:rPr>
        <w:t>’</w:t>
      </w:r>
      <w:r w:rsidRPr="001557DD">
        <w:rPr>
          <w:rFonts w:ascii="Cambria" w:hAnsi="Cambria"/>
          <w:sz w:val="24"/>
          <w:szCs w:val="24"/>
        </w:rPr>
        <w:t xml:space="preserve">s financial operations and financial position, so it presents information on an accrual basis. The accrual basis includes information about costs arising from the consumption of assets and the incurrence of liabilities. </w:t>
      </w:r>
      <w:r w:rsidR="00C60087" w:rsidRPr="001557DD">
        <w:rPr>
          <w:rFonts w:ascii="Cambria" w:hAnsi="Cambria"/>
          <w:sz w:val="24"/>
          <w:szCs w:val="24"/>
        </w:rPr>
        <w:t>The reconciliation of net outlays, presented on a budgetary basis, and the net cost, presented on an accrual basis, provides an explanation of the relationship between budgetary and financial accounting information.</w:t>
      </w:r>
      <w:r w:rsidR="00C60087" w:rsidRPr="00D34DCB">
        <w:rPr>
          <w:rFonts w:ascii="Cambria" w:hAnsi="Cambria"/>
          <w:sz w:val="24"/>
          <w:szCs w:val="24"/>
        </w:rPr>
        <w:t xml:space="preserve"> </w:t>
      </w:r>
      <w:r w:rsidRPr="00D34DCB">
        <w:rPr>
          <w:rFonts w:ascii="Cambria" w:hAnsi="Cambria"/>
          <w:sz w:val="24"/>
          <w:szCs w:val="24"/>
        </w:rPr>
        <w:t xml:space="preserve">The reconciliation serves not only to identify costs paid for in the past and those that will be paid in the future, but also to assure integrity between budgetary and financial accounting. The analysis below illustrates this reconciliation by listing the key differences between net cost and net outlays. </w:t>
      </w:r>
      <w:r w:rsidR="00C60087" w:rsidRPr="001557DD">
        <w:rPr>
          <w:rFonts w:ascii="Cambria" w:hAnsi="Cambria"/>
          <w:sz w:val="24"/>
          <w:szCs w:val="24"/>
        </w:rPr>
        <w:t xml:space="preserve">The </w:t>
      </w:r>
      <w:r w:rsidR="00D44F78" w:rsidRPr="001557DD">
        <w:rPr>
          <w:rFonts w:ascii="Cambria" w:hAnsi="Cambria"/>
          <w:sz w:val="24"/>
          <w:szCs w:val="24"/>
        </w:rPr>
        <w:t>R</w:t>
      </w:r>
      <w:r w:rsidR="00C60087" w:rsidRPr="001557DD">
        <w:rPr>
          <w:rFonts w:ascii="Cambria" w:hAnsi="Cambria"/>
          <w:sz w:val="24"/>
          <w:szCs w:val="24"/>
        </w:rPr>
        <w:t xml:space="preserve">econciliation of </w:t>
      </w:r>
      <w:r w:rsidR="00F90449" w:rsidRPr="001557DD">
        <w:rPr>
          <w:rFonts w:ascii="Cambria" w:hAnsi="Cambria"/>
          <w:sz w:val="24"/>
          <w:szCs w:val="24"/>
        </w:rPr>
        <w:t>N</w:t>
      </w:r>
      <w:r w:rsidR="00C60087" w:rsidRPr="001557DD">
        <w:rPr>
          <w:rFonts w:ascii="Cambria" w:hAnsi="Cambria"/>
          <w:sz w:val="24"/>
          <w:szCs w:val="24"/>
        </w:rPr>
        <w:t xml:space="preserve">et </w:t>
      </w:r>
      <w:r w:rsidR="00F90449" w:rsidRPr="001557DD">
        <w:rPr>
          <w:rFonts w:ascii="Cambria" w:hAnsi="Cambria"/>
          <w:sz w:val="24"/>
          <w:szCs w:val="24"/>
        </w:rPr>
        <w:t>C</w:t>
      </w:r>
      <w:r w:rsidR="00C60087" w:rsidRPr="001557DD">
        <w:rPr>
          <w:rFonts w:ascii="Cambria" w:hAnsi="Cambria"/>
          <w:sz w:val="24"/>
          <w:szCs w:val="24"/>
        </w:rPr>
        <w:t xml:space="preserve">ost to </w:t>
      </w:r>
      <w:r w:rsidR="00F90449" w:rsidRPr="001557DD">
        <w:rPr>
          <w:rFonts w:ascii="Cambria" w:hAnsi="Cambria"/>
          <w:sz w:val="24"/>
          <w:szCs w:val="24"/>
        </w:rPr>
        <w:t>N</w:t>
      </w:r>
      <w:r w:rsidR="00C60087" w:rsidRPr="001557DD">
        <w:rPr>
          <w:rFonts w:ascii="Cambria" w:hAnsi="Cambria"/>
          <w:sz w:val="24"/>
          <w:szCs w:val="24"/>
        </w:rPr>
        <w:t xml:space="preserve">et </w:t>
      </w:r>
      <w:r w:rsidR="00F90449" w:rsidRPr="001557DD">
        <w:rPr>
          <w:rFonts w:ascii="Cambria" w:hAnsi="Cambria"/>
          <w:sz w:val="24"/>
          <w:szCs w:val="24"/>
        </w:rPr>
        <w:t>Budgetary Outlays</w:t>
      </w:r>
      <w:r w:rsidR="00C60087" w:rsidRPr="001557DD">
        <w:rPr>
          <w:rFonts w:ascii="Cambria" w:hAnsi="Cambria"/>
          <w:sz w:val="24"/>
          <w:szCs w:val="24"/>
        </w:rPr>
        <w:t xml:space="preserve"> as of September 30, </w:t>
      </w:r>
      <w:r w:rsidR="0049075B" w:rsidRPr="001557DD">
        <w:rPr>
          <w:rFonts w:ascii="Cambria" w:hAnsi="Cambria"/>
          <w:sz w:val="24"/>
          <w:szCs w:val="24"/>
        </w:rPr>
        <w:t>2025</w:t>
      </w:r>
      <w:r w:rsidR="005D1D78" w:rsidRPr="001557DD">
        <w:rPr>
          <w:rFonts w:ascii="Cambria" w:hAnsi="Cambria"/>
          <w:sz w:val="24"/>
          <w:szCs w:val="24"/>
        </w:rPr>
        <w:t>,</w:t>
      </w:r>
      <w:r w:rsidR="00C60087" w:rsidRPr="001557DD">
        <w:rPr>
          <w:rFonts w:ascii="Cambria" w:hAnsi="Cambria"/>
          <w:sz w:val="24"/>
          <w:szCs w:val="24"/>
        </w:rPr>
        <w:t xml:space="preserve"> </w:t>
      </w:r>
      <w:r w:rsidR="005D1D78" w:rsidRPr="001557DD">
        <w:rPr>
          <w:rFonts w:ascii="Cambria" w:hAnsi="Cambria"/>
          <w:sz w:val="24"/>
          <w:szCs w:val="24"/>
        </w:rPr>
        <w:t>is</w:t>
      </w:r>
      <w:r w:rsidR="00C60087" w:rsidRPr="001557DD">
        <w:rPr>
          <w:rFonts w:ascii="Cambria" w:hAnsi="Cambria"/>
          <w:sz w:val="24"/>
          <w:szCs w:val="24"/>
        </w:rPr>
        <w:t xml:space="preserve"> as follows:</w:t>
      </w:r>
    </w:p>
    <w:p w14:paraId="351B85D2" w14:textId="747F3445" w:rsidR="0075363D" w:rsidRDefault="0075363D">
      <w:pPr>
        <w:rPr>
          <w:rFonts w:ascii="Cambria" w:hAnsi="Cambria"/>
          <w:sz w:val="24"/>
          <w:szCs w:val="24"/>
        </w:rPr>
      </w:pPr>
      <w:r>
        <w:rPr>
          <w:rFonts w:ascii="Cambria" w:hAnsi="Cambria"/>
          <w:sz w:val="24"/>
          <w:szCs w:val="24"/>
        </w:rPr>
        <w:br w:type="page"/>
      </w:r>
    </w:p>
    <w:p w14:paraId="2EE4BB62" w14:textId="245361F3" w:rsidR="00A27C83" w:rsidRPr="00D34DCB" w:rsidRDefault="00A7694E" w:rsidP="00A7694E">
      <w:pPr>
        <w:spacing w:before="240" w:line="276" w:lineRule="auto"/>
        <w:jc w:val="both"/>
        <w:rPr>
          <w:rFonts w:ascii="Cambria" w:hAnsi="Cambria"/>
          <w:sz w:val="24"/>
          <w:szCs w:val="24"/>
        </w:rPr>
      </w:pPr>
      <w:r w:rsidRPr="00A7694E">
        <w:rPr>
          <w:rFonts w:ascii="Cambria" w:hAnsi="Cambria"/>
          <w:noProof/>
          <w:sz w:val="24"/>
          <w:szCs w:val="24"/>
        </w:rPr>
        <w:lastRenderedPageBreak/>
        <w:drawing>
          <wp:anchor distT="0" distB="0" distL="114300" distR="114300" simplePos="0" relativeHeight="252211712" behindDoc="0" locked="0" layoutInCell="1" allowOverlap="1" wp14:anchorId="55187925" wp14:editId="0EA00F12">
            <wp:simplePos x="0" y="0"/>
            <wp:positionH relativeFrom="column">
              <wp:posOffset>0</wp:posOffset>
            </wp:positionH>
            <wp:positionV relativeFrom="paragraph">
              <wp:posOffset>635</wp:posOffset>
            </wp:positionV>
            <wp:extent cx="5943600" cy="4076700"/>
            <wp:effectExtent l="0" t="0" r="0" b="0"/>
            <wp:wrapTopAndBottom/>
            <wp:docPr id="153451924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anchor>
        </w:drawing>
      </w:r>
      <w:r w:rsidR="00371A00">
        <w:rPr>
          <w:rFonts w:ascii="Cambria" w:hAnsi="Cambria"/>
          <w:sz w:val="24"/>
          <w:szCs w:val="24"/>
        </w:rPr>
        <w:t>P</w:t>
      </w:r>
      <w:r w:rsidR="002A4882">
        <w:rPr>
          <w:rFonts w:ascii="Cambria" w:hAnsi="Cambria"/>
          <w:sz w:val="24"/>
          <w:szCs w:val="24"/>
        </w:rPr>
        <w:t xml:space="preserve">roperty, plant, and equipment depreciation expense </w:t>
      </w:r>
      <w:r w:rsidR="00371A00">
        <w:rPr>
          <w:rFonts w:ascii="Cambria" w:hAnsi="Cambria"/>
          <w:sz w:val="24"/>
          <w:szCs w:val="24"/>
        </w:rPr>
        <w:t xml:space="preserve">($255,879 in FY 2025) </w:t>
      </w:r>
      <w:r w:rsidR="002A4882">
        <w:rPr>
          <w:rFonts w:ascii="Cambria" w:hAnsi="Cambria"/>
          <w:sz w:val="24"/>
          <w:szCs w:val="24"/>
        </w:rPr>
        <w:t>is a regularly occurring component of net cost not part of net outlays and a result of PCLOB’s allocation of assets (i.e., furniture, IT equipment, etc.) to expenses over time. The total decrease of $80,821 related to advances and prepayments is a result of</w:t>
      </w:r>
      <w:r w:rsidR="00185B91">
        <w:rPr>
          <w:rFonts w:ascii="Cambria" w:hAnsi="Cambria"/>
          <w:sz w:val="24"/>
          <w:szCs w:val="24"/>
        </w:rPr>
        <w:t xml:space="preserve"> PCLOB’s </w:t>
      </w:r>
      <w:r w:rsidR="00B82E76">
        <w:rPr>
          <w:rFonts w:ascii="Cambria" w:hAnsi="Cambria"/>
          <w:sz w:val="24"/>
          <w:szCs w:val="24"/>
        </w:rPr>
        <w:t xml:space="preserve">continued </w:t>
      </w:r>
      <w:r w:rsidR="00185B91">
        <w:rPr>
          <w:rFonts w:ascii="Cambria" w:hAnsi="Cambria"/>
          <w:sz w:val="24"/>
          <w:szCs w:val="24"/>
        </w:rPr>
        <w:t xml:space="preserve">transition away from one </w:t>
      </w:r>
      <w:r w:rsidR="00185B91" w:rsidRPr="00810BA1">
        <w:rPr>
          <w:rFonts w:ascii="Cambria" w:hAnsi="Cambria"/>
          <w:sz w:val="24"/>
          <w:szCs w:val="24"/>
        </w:rPr>
        <w:t xml:space="preserve">procurement service provider, </w:t>
      </w:r>
      <w:r w:rsidR="00185B91">
        <w:rPr>
          <w:rFonts w:ascii="Cambria" w:hAnsi="Cambria"/>
          <w:sz w:val="24"/>
          <w:szCs w:val="24"/>
        </w:rPr>
        <w:t>DOI</w:t>
      </w:r>
      <w:r w:rsidR="00185B91" w:rsidRPr="00810BA1">
        <w:rPr>
          <w:rFonts w:ascii="Cambria" w:hAnsi="Cambria"/>
          <w:sz w:val="24"/>
          <w:szCs w:val="24"/>
        </w:rPr>
        <w:t xml:space="preserve"> (which require</w:t>
      </w:r>
      <w:r w:rsidR="00185B91">
        <w:rPr>
          <w:rFonts w:ascii="Cambria" w:hAnsi="Cambria"/>
          <w:sz w:val="24"/>
          <w:szCs w:val="24"/>
        </w:rPr>
        <w:t>s</w:t>
      </w:r>
      <w:r w:rsidR="00185B91" w:rsidRPr="00810BA1">
        <w:rPr>
          <w:rFonts w:ascii="Cambria" w:hAnsi="Cambria"/>
          <w:sz w:val="24"/>
          <w:szCs w:val="24"/>
        </w:rPr>
        <w:t xml:space="preserve"> contract costs to be paid in advance)</w:t>
      </w:r>
      <w:r w:rsidR="00185B91">
        <w:rPr>
          <w:rFonts w:ascii="Cambria" w:hAnsi="Cambria"/>
          <w:sz w:val="24"/>
          <w:szCs w:val="24"/>
        </w:rPr>
        <w:t>,</w:t>
      </w:r>
      <w:r w:rsidR="00185B91" w:rsidRPr="00810BA1">
        <w:rPr>
          <w:rFonts w:ascii="Cambria" w:hAnsi="Cambria"/>
          <w:sz w:val="24"/>
          <w:szCs w:val="24"/>
        </w:rPr>
        <w:t xml:space="preserve"> to</w:t>
      </w:r>
      <w:r w:rsidR="00185B91">
        <w:rPr>
          <w:rFonts w:ascii="Cambria" w:hAnsi="Cambria"/>
          <w:sz w:val="24"/>
          <w:szCs w:val="24"/>
        </w:rPr>
        <w:t xml:space="preserve"> another procurement service provider, ARC (which did not require contract costs to be paid in advance). </w:t>
      </w:r>
      <w:r w:rsidR="00185B91" w:rsidRPr="00185B91">
        <w:rPr>
          <w:rFonts w:ascii="Cambria" w:hAnsi="Cambria"/>
          <w:sz w:val="24"/>
          <w:szCs w:val="24"/>
        </w:rPr>
        <w:t xml:space="preserve">Federal </w:t>
      </w:r>
      <w:r w:rsidR="00185B91">
        <w:rPr>
          <w:rFonts w:ascii="Cambria" w:hAnsi="Cambria"/>
          <w:sz w:val="24"/>
          <w:szCs w:val="24"/>
        </w:rPr>
        <w:t>e</w:t>
      </w:r>
      <w:r w:rsidR="00185B91" w:rsidRPr="00185B91">
        <w:rPr>
          <w:rFonts w:ascii="Cambria" w:hAnsi="Cambria"/>
          <w:sz w:val="24"/>
          <w:szCs w:val="24"/>
        </w:rPr>
        <w:t xml:space="preserve">mployee </w:t>
      </w:r>
      <w:r w:rsidR="00185B91">
        <w:rPr>
          <w:rFonts w:ascii="Cambria" w:hAnsi="Cambria"/>
          <w:sz w:val="24"/>
          <w:szCs w:val="24"/>
        </w:rPr>
        <w:t>s</w:t>
      </w:r>
      <w:r w:rsidR="00185B91" w:rsidRPr="00185B91">
        <w:rPr>
          <w:rFonts w:ascii="Cambria" w:hAnsi="Cambria"/>
          <w:sz w:val="24"/>
          <w:szCs w:val="24"/>
        </w:rPr>
        <w:t xml:space="preserve">alary, </w:t>
      </w:r>
      <w:r w:rsidR="00185B91">
        <w:rPr>
          <w:rFonts w:ascii="Cambria" w:hAnsi="Cambria"/>
          <w:sz w:val="24"/>
          <w:szCs w:val="24"/>
        </w:rPr>
        <w:t>l</w:t>
      </w:r>
      <w:r w:rsidR="00185B91" w:rsidRPr="00185B91">
        <w:rPr>
          <w:rFonts w:ascii="Cambria" w:hAnsi="Cambria"/>
          <w:sz w:val="24"/>
          <w:szCs w:val="24"/>
        </w:rPr>
        <w:t xml:space="preserve">eave, and </w:t>
      </w:r>
      <w:r w:rsidR="00185B91">
        <w:rPr>
          <w:rFonts w:ascii="Cambria" w:hAnsi="Cambria"/>
          <w:sz w:val="24"/>
          <w:szCs w:val="24"/>
        </w:rPr>
        <w:t>b</w:t>
      </w:r>
      <w:r w:rsidR="00185B91" w:rsidRPr="00185B91">
        <w:rPr>
          <w:rFonts w:ascii="Cambria" w:hAnsi="Cambria"/>
          <w:sz w:val="24"/>
          <w:szCs w:val="24"/>
        </w:rPr>
        <w:t xml:space="preserve">enefits </w:t>
      </w:r>
      <w:r w:rsidR="00185B91">
        <w:rPr>
          <w:rFonts w:ascii="Cambria" w:hAnsi="Cambria"/>
          <w:sz w:val="24"/>
          <w:szCs w:val="24"/>
        </w:rPr>
        <w:t>p</w:t>
      </w:r>
      <w:r w:rsidR="00185B91" w:rsidRPr="00185B91">
        <w:rPr>
          <w:rFonts w:ascii="Cambria" w:hAnsi="Cambria"/>
          <w:sz w:val="24"/>
          <w:szCs w:val="24"/>
        </w:rPr>
        <w:t>ayable</w:t>
      </w:r>
      <w:r w:rsidR="00185B91">
        <w:rPr>
          <w:rFonts w:ascii="Cambria" w:hAnsi="Cambria"/>
          <w:sz w:val="24"/>
          <w:szCs w:val="24"/>
        </w:rPr>
        <w:t xml:space="preserve"> was $98,785 higher than last year due to </w:t>
      </w:r>
      <w:r w:rsidR="00185B91" w:rsidRPr="00185B91">
        <w:rPr>
          <w:rFonts w:ascii="Cambria" w:hAnsi="Cambria"/>
          <w:sz w:val="24"/>
          <w:szCs w:val="24"/>
        </w:rPr>
        <w:t>higher-than-usual accrued, unfunded leave balances for employees</w:t>
      </w:r>
      <w:r w:rsidR="00185B91">
        <w:rPr>
          <w:rFonts w:ascii="Cambria" w:hAnsi="Cambria"/>
          <w:sz w:val="24"/>
          <w:szCs w:val="24"/>
        </w:rPr>
        <w:t xml:space="preserve"> at year-end. </w:t>
      </w:r>
      <w:r w:rsidR="00371A00">
        <w:rPr>
          <w:rFonts w:ascii="Cambria" w:hAnsi="Cambria"/>
          <w:sz w:val="24"/>
          <w:szCs w:val="24"/>
        </w:rPr>
        <w:t xml:space="preserve">Other liabilities rose a total of $94,688, </w:t>
      </w:r>
      <w:r w:rsidR="00371A00" w:rsidRPr="00371A00">
        <w:rPr>
          <w:rFonts w:ascii="Cambria" w:hAnsi="Cambria"/>
          <w:sz w:val="24"/>
          <w:szCs w:val="24"/>
        </w:rPr>
        <w:t>mostly related to contingent liabilities of $86</w:t>
      </w:r>
      <w:r w:rsidR="00371A00">
        <w:rPr>
          <w:rFonts w:ascii="Cambria" w:hAnsi="Cambria"/>
          <w:sz w:val="24"/>
          <w:szCs w:val="24"/>
        </w:rPr>
        <w:t>,000</w:t>
      </w:r>
      <w:r w:rsidR="00371A00" w:rsidRPr="00371A00">
        <w:rPr>
          <w:rFonts w:ascii="Cambria" w:hAnsi="Cambria"/>
          <w:sz w:val="24"/>
          <w:szCs w:val="24"/>
        </w:rPr>
        <w:t xml:space="preserve"> associated with pending </w:t>
      </w:r>
      <w:r w:rsidR="00B82E76">
        <w:rPr>
          <w:rFonts w:ascii="Cambria" w:hAnsi="Cambria"/>
          <w:sz w:val="24"/>
          <w:szCs w:val="24"/>
        </w:rPr>
        <w:t>actions</w:t>
      </w:r>
      <w:r w:rsidR="00B82E76" w:rsidRPr="00371A00">
        <w:rPr>
          <w:rFonts w:ascii="Cambria" w:hAnsi="Cambria"/>
          <w:sz w:val="24"/>
          <w:szCs w:val="24"/>
        </w:rPr>
        <w:t xml:space="preserve"> </w:t>
      </w:r>
      <w:r w:rsidR="00371A00" w:rsidRPr="00371A00">
        <w:rPr>
          <w:rFonts w:ascii="Cambria" w:hAnsi="Cambria"/>
          <w:sz w:val="24"/>
          <w:szCs w:val="24"/>
        </w:rPr>
        <w:t>against the agency</w:t>
      </w:r>
      <w:r w:rsidR="00F93774">
        <w:rPr>
          <w:rFonts w:ascii="Cambria" w:hAnsi="Cambria"/>
          <w:sz w:val="24"/>
          <w:szCs w:val="24"/>
        </w:rPr>
        <w:t>, as discussed in Note 5</w:t>
      </w:r>
      <w:r w:rsidR="00371A00" w:rsidRPr="00371A00">
        <w:rPr>
          <w:rFonts w:ascii="Cambria" w:hAnsi="Cambria"/>
          <w:sz w:val="24"/>
          <w:szCs w:val="24"/>
        </w:rPr>
        <w:t>.</w:t>
      </w:r>
      <w:r w:rsidR="00371A00">
        <w:rPr>
          <w:rFonts w:ascii="Cambria" w:hAnsi="Cambria"/>
          <w:sz w:val="24"/>
          <w:szCs w:val="24"/>
        </w:rPr>
        <w:t xml:space="preserve"> Finally, imputed cost of $668,891 was recorded as another regularly occurring component of net cost that is not part of net outlays, as it is financed by OPM</w:t>
      </w:r>
      <w:r w:rsidR="00F93774">
        <w:rPr>
          <w:rFonts w:ascii="Cambria" w:hAnsi="Cambria"/>
          <w:sz w:val="24"/>
          <w:szCs w:val="24"/>
        </w:rPr>
        <w:t xml:space="preserve">, as discussed in further detail </w:t>
      </w:r>
      <w:r w:rsidR="00E42F5F">
        <w:rPr>
          <w:rFonts w:ascii="Cambria" w:hAnsi="Cambria"/>
          <w:sz w:val="24"/>
          <w:szCs w:val="24"/>
        </w:rPr>
        <w:t xml:space="preserve">in </w:t>
      </w:r>
      <w:hyperlink w:anchor="_NOTE_7_—" w:history="1">
        <w:r w:rsidR="00F93774" w:rsidRPr="00AA651D">
          <w:rPr>
            <w:rStyle w:val="Hyperlink"/>
            <w:rFonts w:ascii="Cambria" w:hAnsi="Cambria"/>
            <w:sz w:val="24"/>
            <w:szCs w:val="24"/>
          </w:rPr>
          <w:t>Note 7</w:t>
        </w:r>
      </w:hyperlink>
      <w:r w:rsidR="00F93774">
        <w:rPr>
          <w:rFonts w:ascii="Cambria" w:hAnsi="Cambria"/>
          <w:sz w:val="24"/>
          <w:szCs w:val="24"/>
        </w:rPr>
        <w:t>.</w:t>
      </w:r>
    </w:p>
    <w:p w14:paraId="2B60AD23" w14:textId="5C08921C" w:rsidR="00A83543" w:rsidRDefault="00A27C83">
      <w:pPr>
        <w:sectPr w:rsidR="00A83543" w:rsidSect="00182D44">
          <w:headerReference w:type="default" r:id="rId124"/>
          <w:pgSz w:w="12240" w:h="15840"/>
          <w:pgMar w:top="1980" w:right="1440" w:bottom="1080" w:left="1440" w:header="450" w:footer="720" w:gutter="0"/>
          <w:cols w:space="720"/>
          <w:titlePg/>
          <w:docGrid w:linePitch="360"/>
        </w:sectPr>
      </w:pPr>
      <w:r>
        <w:br w:type="page"/>
      </w:r>
    </w:p>
    <w:p w14:paraId="3B4904B2" w14:textId="77777777" w:rsidR="00A27C83" w:rsidRDefault="00A27C83"/>
    <w:p w14:paraId="72947924" w14:textId="10560A2B" w:rsidR="00DE68B6" w:rsidRPr="00260588" w:rsidRDefault="00B65209" w:rsidP="00BD19DA">
      <w:pPr>
        <w:pStyle w:val="Heading1"/>
        <w:rPr>
          <w:sz w:val="16"/>
          <w:szCs w:val="16"/>
        </w:rPr>
      </w:pPr>
      <w:bookmarkStart w:id="135" w:name="_Other_Information"/>
      <w:bookmarkStart w:id="136" w:name="_Toc213421247"/>
      <w:bookmarkEnd w:id="135"/>
      <w:r w:rsidRPr="00BD19DA">
        <w:rPr>
          <w:noProof/>
          <w:color w:val="3F426F"/>
        </w:rPr>
        <mc:AlternateContent>
          <mc:Choice Requires="wps">
            <w:drawing>
              <wp:anchor distT="45720" distB="45720" distL="114300" distR="114300" simplePos="0" relativeHeight="251822592" behindDoc="0" locked="0" layoutInCell="1" allowOverlap="1" wp14:anchorId="0CFA8A7D" wp14:editId="2609D011">
                <wp:simplePos x="0" y="0"/>
                <wp:positionH relativeFrom="margin">
                  <wp:posOffset>-457200</wp:posOffset>
                </wp:positionH>
                <wp:positionV relativeFrom="paragraph">
                  <wp:posOffset>450850</wp:posOffset>
                </wp:positionV>
                <wp:extent cx="6707505" cy="1765300"/>
                <wp:effectExtent l="0" t="0" r="0" b="6350"/>
                <wp:wrapSquare wrapText="bothSides"/>
                <wp:docPr id="785347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7505" cy="1765300"/>
                        </a:xfrm>
                        <a:prstGeom prst="rect">
                          <a:avLst/>
                        </a:prstGeom>
                        <a:noFill/>
                        <a:ln w="9525">
                          <a:noFill/>
                          <a:miter lim="800000"/>
                          <a:headEnd/>
                          <a:tailEnd/>
                        </a:ln>
                      </wps:spPr>
                      <wps:txbx>
                        <w:txbxContent>
                          <w:p w14:paraId="2CB321D5" w14:textId="00949A66" w:rsidR="009F02CE" w:rsidRPr="00064251" w:rsidRDefault="009F02CE" w:rsidP="009F02CE">
                            <w:pPr>
                              <w:jc w:val="center"/>
                              <w:rPr>
                                <w:smallCaps/>
                                <w:color w:val="FFFFFF" w:themeColor="background1"/>
                                <w:spacing w:val="40"/>
                                <w:sz w:val="72"/>
                                <w:szCs w:val="72"/>
                              </w:rPr>
                            </w:pPr>
                            <w:r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Other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A8A7D" id="_x0000_s1043" type="#_x0000_t202" style="position:absolute;margin-left:-36pt;margin-top:35.5pt;width:528.15pt;height:139pt;z-index:25182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" filled="f" stroked="f">
                <v:textbox>
                  <w:txbxContent>
                    <w:p w14:paraId="2CB321D5" w14:textId="00949A66" w:rsidR="009F02CE" w:rsidRPr="00064251" w:rsidRDefault="009F02CE" w:rsidP="009F02CE">
                      <w:pPr>
                        <w:jc w:val="center"/>
                        <w:rPr>
                          <w:smallCaps/>
                          <w:color w:val="FFFFFF" w:themeColor="background1"/>
                          <w:spacing w:val="40"/>
                          <w:sz w:val="72"/>
                          <w:szCs w:val="72"/>
                        </w:rPr>
                      </w:pPr>
                      <w:r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Other Information</w:t>
                      </w:r>
                    </w:p>
                  </w:txbxContent>
                </v:textbox>
                <w10:wrap type="square" anchorx="margin"/>
              </v:shape>
            </w:pict>
          </mc:Fallback>
        </mc:AlternateContent>
      </w:r>
      <w:r w:rsidR="00BD19DA" w:rsidRPr="00BD19DA">
        <w:rPr>
          <w:noProof/>
          <w:color w:val="3F426F"/>
        </w:rPr>
        <mc:AlternateContent>
          <mc:Choice Requires="wps">
            <w:drawing>
              <wp:anchor distT="0" distB="0" distL="114300" distR="114300" simplePos="0" relativeHeight="251818496" behindDoc="0" locked="0" layoutInCell="1" allowOverlap="1" wp14:anchorId="269C5C56" wp14:editId="160D6056">
                <wp:simplePos x="0" y="0"/>
                <wp:positionH relativeFrom="column">
                  <wp:posOffset>-969645</wp:posOffset>
                </wp:positionH>
                <wp:positionV relativeFrom="paragraph">
                  <wp:posOffset>-1626235</wp:posOffset>
                </wp:positionV>
                <wp:extent cx="7825609" cy="11694795"/>
                <wp:effectExtent l="57150" t="0" r="80645" b="135255"/>
                <wp:wrapNone/>
                <wp:docPr id="1924009483" name="Rectangle 27"/>
                <wp:cNvGraphicFramePr/>
                <a:graphic xmlns:a="http://schemas.openxmlformats.org/drawingml/2006/main">
                  <a:graphicData uri="http://schemas.microsoft.com/office/word/2010/wordprocessingShape">
                    <wps:wsp>
                      <wps:cNvSpPr/>
                      <wps:spPr>
                        <a:xfrm>
                          <a:off x="0" y="0"/>
                          <a:ext cx="7825609" cy="11694795"/>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06875" id="Rectangle 27" o:spid="_x0000_s1026" style="position:absolute;margin-left:-76.35pt;margin-top:-128.05pt;width:616.2pt;height:920.8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" fillcolor="#424e62" strokecolor="#0b0f19 [484]" strokeweight="1pt">
                <v:shadow on="t" color="black" offset="0,4pt"/>
              </v:rect>
            </w:pict>
          </mc:Fallback>
        </mc:AlternateContent>
      </w:r>
      <w:r w:rsidR="00DE68B6" w:rsidRPr="00BD19DA">
        <w:rPr>
          <w:color w:val="3F426F"/>
          <w:sz w:val="16"/>
          <w:szCs w:val="16"/>
        </w:rPr>
        <w:t>Other Information</w:t>
      </w:r>
      <w:bookmarkEnd w:id="136"/>
    </w:p>
    <w:p w14:paraId="73F37743" w14:textId="5690E76D" w:rsidR="000E6D50" w:rsidRDefault="00B65209">
      <w:pPr>
        <w:rPr>
          <w:rFonts w:ascii="Cambria" w:eastAsia="Calibri" w:hAnsi="Cambria" w:cs="Times New Roman"/>
          <w:b/>
          <w:smallCaps/>
          <w:color w:val="2F5496"/>
          <w:sz w:val="40"/>
          <w:szCs w:val="40"/>
        </w:rPr>
      </w:pPr>
      <w:r w:rsidRPr="00BD19DA">
        <w:rPr>
          <w:b/>
          <w:bCs/>
          <w:caps/>
          <w:noProof/>
          <w:color w:val="3F426F"/>
          <w:spacing w:val="40"/>
        </w:rPr>
        <w:drawing>
          <wp:anchor distT="0" distB="0" distL="114300" distR="114300" simplePos="0" relativeHeight="251823616" behindDoc="0" locked="0" layoutInCell="1" allowOverlap="1" wp14:anchorId="417A2420" wp14:editId="30DDD63E">
            <wp:simplePos x="0" y="0"/>
            <wp:positionH relativeFrom="margin">
              <wp:posOffset>2096770</wp:posOffset>
            </wp:positionH>
            <wp:positionV relativeFrom="page">
              <wp:posOffset>3891280</wp:posOffset>
            </wp:positionV>
            <wp:extent cx="2033270" cy="2001520"/>
            <wp:effectExtent l="0" t="0" r="5080" b="0"/>
            <wp:wrapSquare wrapText="bothSides"/>
            <wp:docPr id="1095871680"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3270" cy="2001520"/>
                    </a:xfrm>
                    <a:prstGeom prst="rect">
                      <a:avLst/>
                    </a:prstGeom>
                  </pic:spPr>
                </pic:pic>
              </a:graphicData>
            </a:graphic>
            <wp14:sizeRelH relativeFrom="margin">
              <wp14:pctWidth>0</wp14:pctWidth>
            </wp14:sizeRelH>
            <wp14:sizeRelV relativeFrom="margin">
              <wp14:pctHeight>0</wp14:pctHeight>
            </wp14:sizeRelV>
          </wp:anchor>
        </w:drawing>
      </w:r>
      <w:r w:rsidR="000E6D50">
        <w:br w:type="page"/>
      </w:r>
    </w:p>
    <w:p w14:paraId="4A441065" w14:textId="6E06E5A2" w:rsidR="00C60087" w:rsidRPr="00C60087" w:rsidRDefault="00C60087" w:rsidP="00A47B91">
      <w:pPr>
        <w:pStyle w:val="Heading2"/>
      </w:pPr>
      <w:bookmarkStart w:id="137" w:name="_Toc85212091"/>
      <w:bookmarkStart w:id="138" w:name="_Toc86327264"/>
      <w:bookmarkStart w:id="139" w:name="_Toc213421248"/>
      <w:r w:rsidRPr="00C60087">
        <w:lastRenderedPageBreak/>
        <w:t xml:space="preserve">Summary of FY </w:t>
      </w:r>
      <w:r w:rsidR="0049075B">
        <w:t>2025</w:t>
      </w:r>
      <w:r w:rsidRPr="00C60087">
        <w:t xml:space="preserve"> Financial Statement Audit and Management Assurances</w:t>
      </w:r>
      <w:bookmarkEnd w:id="137"/>
      <w:bookmarkEnd w:id="138"/>
      <w:bookmarkEnd w:id="139"/>
    </w:p>
    <w:p w14:paraId="3035D2AD" w14:textId="77777777" w:rsidR="00C60087" w:rsidRPr="000C50CC" w:rsidRDefault="00C60087" w:rsidP="00C60087">
      <w:pPr>
        <w:spacing w:after="0"/>
      </w:pPr>
    </w:p>
    <w:p w14:paraId="1BE0047A" w14:textId="40E86F89" w:rsidR="00C60087" w:rsidRPr="000C50CC" w:rsidRDefault="00C60087" w:rsidP="00C60087">
      <w:pPr>
        <w:spacing w:after="0"/>
        <w:rPr>
          <w:sz w:val="24"/>
          <w:szCs w:val="24"/>
        </w:rPr>
      </w:pPr>
      <w:r>
        <w:rPr>
          <w:noProof/>
          <w:sz w:val="24"/>
          <w:szCs w:val="24"/>
        </w:rPr>
        <mc:AlternateContent>
          <mc:Choice Requires="wps">
            <w:drawing>
              <wp:anchor distT="0" distB="0" distL="114300" distR="114300" simplePos="0" relativeHeight="251699712" behindDoc="1" locked="0" layoutInCell="1" allowOverlap="1" wp14:anchorId="77919F78" wp14:editId="4810A074">
                <wp:simplePos x="0" y="0"/>
                <wp:positionH relativeFrom="column">
                  <wp:posOffset>0</wp:posOffset>
                </wp:positionH>
                <wp:positionV relativeFrom="paragraph">
                  <wp:posOffset>45720</wp:posOffset>
                </wp:positionV>
                <wp:extent cx="6086475" cy="6543675"/>
                <wp:effectExtent l="38100" t="36195" r="38100" b="40005"/>
                <wp:wrapNone/>
                <wp:docPr id="26584950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6475" cy="6543675"/>
                        </a:xfrm>
                        <a:prstGeom prst="rect">
                          <a:avLst/>
                        </a:prstGeom>
                        <a:solidFill>
                          <a:schemeClr val="bg1">
                            <a:lumMod val="100000"/>
                            <a:lumOff val="0"/>
                          </a:schemeClr>
                        </a:solidFill>
                        <a:ln w="63500" cmpd="thickThin">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DB649" id="Rectangle 26" o:spid="_x0000_s1026" style="position:absolute;margin-left:0;margin-top:3.6pt;width:479.25pt;height:515.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" fillcolor="white [3212]" strokecolor="#002060" strokeweight="5pt">
                <v:stroke linestyle="thickThin"/>
                <v:shadow color="#868686"/>
              </v:rect>
            </w:pict>
          </mc:Fallback>
        </mc:AlternateContent>
      </w:r>
    </w:p>
    <w:tbl>
      <w:tblPr>
        <w:tblW w:w="4899" w:type="pct"/>
        <w:tblInd w:w="185" w:type="dxa"/>
        <w:tblLayout w:type="fixed"/>
        <w:tblCellMar>
          <w:left w:w="0" w:type="dxa"/>
          <w:right w:w="0" w:type="dxa"/>
        </w:tblCellMar>
        <w:tblLook w:val="01E0" w:firstRow="1" w:lastRow="1" w:firstColumn="1" w:lastColumn="1" w:noHBand="0" w:noVBand="0"/>
      </w:tblPr>
      <w:tblGrid>
        <w:gridCol w:w="2533"/>
        <w:gridCol w:w="1361"/>
        <w:gridCol w:w="1363"/>
        <w:gridCol w:w="1359"/>
        <w:gridCol w:w="1363"/>
        <w:gridCol w:w="1182"/>
      </w:tblGrid>
      <w:tr w:rsidR="00C60087" w:rsidRPr="000C50CC" w14:paraId="518E2AE2" w14:textId="77777777" w:rsidTr="00CF7C92">
        <w:trPr>
          <w:trHeight w:val="190"/>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bottom"/>
          </w:tcPr>
          <w:p w14:paraId="7C1876B0" w14:textId="19CEDED5" w:rsidR="00C60087" w:rsidRPr="000C50CC" w:rsidRDefault="00C60087" w:rsidP="00CF7C92">
            <w:pPr>
              <w:ind w:right="-165"/>
              <w:jc w:val="center"/>
              <w:rPr>
                <w:rFonts w:ascii="Cambria" w:hAnsi="Cambria"/>
                <w:b/>
                <w:bCs/>
                <w:sz w:val="24"/>
                <w:szCs w:val="24"/>
              </w:rPr>
            </w:pPr>
            <w:bookmarkStart w:id="140" w:name="_Hlk52888155"/>
            <w:r w:rsidRPr="000C50CC">
              <w:rPr>
                <w:rFonts w:ascii="Cambria" w:hAnsi="Cambria"/>
                <w:b/>
                <w:bCs/>
                <w:sz w:val="24"/>
                <w:szCs w:val="24"/>
              </w:rPr>
              <w:t xml:space="preserve">Summary of FY </w:t>
            </w:r>
            <w:r w:rsidR="0049075B">
              <w:rPr>
                <w:rFonts w:ascii="Cambria" w:hAnsi="Cambria"/>
                <w:b/>
                <w:bCs/>
                <w:sz w:val="24"/>
                <w:szCs w:val="24"/>
              </w:rPr>
              <w:t>2025</w:t>
            </w:r>
            <w:r w:rsidRPr="000C50CC">
              <w:rPr>
                <w:rFonts w:ascii="Cambria" w:hAnsi="Cambria"/>
                <w:b/>
                <w:bCs/>
                <w:sz w:val="24"/>
                <w:szCs w:val="24"/>
              </w:rPr>
              <w:t xml:space="preserve"> Financial Statement Audit</w:t>
            </w:r>
          </w:p>
        </w:tc>
      </w:tr>
      <w:tr w:rsidR="00C60087" w:rsidRPr="000C50CC" w14:paraId="031CE1FA" w14:textId="77777777" w:rsidTr="00CF7C92">
        <w:trPr>
          <w:trHeight w:val="140"/>
        </w:trPr>
        <w:tc>
          <w:tcPr>
            <w:tcW w:w="1382" w:type="pct"/>
            <w:tcBorders>
              <w:bottom w:val="single" w:sz="4" w:space="0" w:color="auto"/>
            </w:tcBorders>
            <w:vAlign w:val="center"/>
          </w:tcPr>
          <w:p w14:paraId="560FFE23" w14:textId="77777777" w:rsidR="00C60087" w:rsidRPr="000C50CC" w:rsidRDefault="00C60087" w:rsidP="00CF7C92">
            <w:pPr>
              <w:ind w:left="135" w:right="-165"/>
              <w:rPr>
                <w:rFonts w:ascii="Cambria" w:hAnsi="Cambria"/>
              </w:rPr>
            </w:pPr>
            <w:r w:rsidRPr="000C50CC">
              <w:rPr>
                <w:rFonts w:ascii="Cambria" w:hAnsi="Cambria"/>
              </w:rPr>
              <w:t>Audit Opinion</w:t>
            </w:r>
          </w:p>
        </w:tc>
        <w:tc>
          <w:tcPr>
            <w:tcW w:w="3618" w:type="pct"/>
            <w:gridSpan w:val="5"/>
            <w:tcBorders>
              <w:bottom w:val="single" w:sz="4" w:space="0" w:color="auto"/>
            </w:tcBorders>
            <w:vAlign w:val="center"/>
          </w:tcPr>
          <w:p w14:paraId="3E955CFB" w14:textId="77777777" w:rsidR="00C60087" w:rsidRPr="000C50CC" w:rsidRDefault="00C60087" w:rsidP="00CF7C92">
            <w:pPr>
              <w:ind w:left="135" w:right="-165"/>
              <w:rPr>
                <w:rFonts w:ascii="Cambria" w:hAnsi="Cambria"/>
              </w:rPr>
            </w:pPr>
            <w:r w:rsidRPr="000C50CC">
              <w:rPr>
                <w:rFonts w:ascii="Cambria" w:hAnsi="Cambria"/>
              </w:rPr>
              <w:t>Unmodified</w:t>
            </w:r>
          </w:p>
        </w:tc>
      </w:tr>
      <w:tr w:rsidR="00C60087" w:rsidRPr="000C50CC" w14:paraId="2EE00EE0" w14:textId="77777777" w:rsidTr="00CF7C92">
        <w:trPr>
          <w:trHeight w:val="140"/>
        </w:trPr>
        <w:tc>
          <w:tcPr>
            <w:tcW w:w="1382" w:type="pct"/>
            <w:tcBorders>
              <w:top w:val="single" w:sz="4" w:space="0" w:color="auto"/>
              <w:bottom w:val="single" w:sz="4" w:space="0" w:color="auto"/>
            </w:tcBorders>
            <w:vAlign w:val="center"/>
          </w:tcPr>
          <w:p w14:paraId="0615F0AA" w14:textId="77777777" w:rsidR="00C60087" w:rsidRPr="000C50CC" w:rsidRDefault="00C60087" w:rsidP="00CF7C92">
            <w:pPr>
              <w:ind w:left="135" w:right="-165"/>
              <w:rPr>
                <w:rFonts w:ascii="Cambria" w:hAnsi="Cambria"/>
              </w:rPr>
            </w:pPr>
            <w:r w:rsidRPr="000C50CC">
              <w:rPr>
                <w:rFonts w:ascii="Cambria" w:hAnsi="Cambria"/>
              </w:rPr>
              <w:t>Restatement</w:t>
            </w:r>
          </w:p>
        </w:tc>
        <w:tc>
          <w:tcPr>
            <w:tcW w:w="3618" w:type="pct"/>
            <w:gridSpan w:val="5"/>
            <w:tcBorders>
              <w:top w:val="single" w:sz="4" w:space="0" w:color="auto"/>
              <w:bottom w:val="single" w:sz="4" w:space="0" w:color="auto"/>
            </w:tcBorders>
            <w:vAlign w:val="center"/>
          </w:tcPr>
          <w:p w14:paraId="12BE701F" w14:textId="77777777" w:rsidR="00C60087" w:rsidRPr="000C50CC" w:rsidRDefault="00C60087" w:rsidP="00CF7C92">
            <w:pPr>
              <w:ind w:left="135" w:right="-165"/>
              <w:rPr>
                <w:rFonts w:ascii="Cambria" w:hAnsi="Cambria"/>
              </w:rPr>
            </w:pPr>
            <w:r w:rsidRPr="000C50CC">
              <w:rPr>
                <w:rFonts w:ascii="Cambria" w:hAnsi="Cambria"/>
              </w:rPr>
              <w:t>No</w:t>
            </w:r>
          </w:p>
        </w:tc>
      </w:tr>
      <w:tr w:rsidR="00C60087" w:rsidRPr="000C50CC" w14:paraId="0704D2C7" w14:textId="77777777" w:rsidTr="00CF7C92">
        <w:trPr>
          <w:trHeight w:val="286"/>
        </w:trPr>
        <w:tc>
          <w:tcPr>
            <w:tcW w:w="1382" w:type="pct"/>
            <w:tcBorders>
              <w:bottom w:val="single" w:sz="4" w:space="0" w:color="auto"/>
            </w:tcBorders>
            <w:vAlign w:val="center"/>
          </w:tcPr>
          <w:p w14:paraId="64A765C0" w14:textId="77777777" w:rsidR="00C60087" w:rsidRPr="000C50CC" w:rsidRDefault="00C60087" w:rsidP="00CF7C92">
            <w:pPr>
              <w:ind w:left="135"/>
              <w:rPr>
                <w:rFonts w:ascii="Cambria" w:hAnsi="Cambria"/>
              </w:rPr>
            </w:pPr>
            <w:r w:rsidRPr="000C50CC">
              <w:rPr>
                <w:rFonts w:ascii="Cambria" w:hAnsi="Cambria"/>
              </w:rPr>
              <w:t>Material Weaknesses</w:t>
            </w:r>
          </w:p>
        </w:tc>
        <w:tc>
          <w:tcPr>
            <w:tcW w:w="743" w:type="pct"/>
            <w:tcBorders>
              <w:bottom w:val="single" w:sz="4" w:space="0" w:color="auto"/>
            </w:tcBorders>
            <w:vAlign w:val="center"/>
          </w:tcPr>
          <w:p w14:paraId="04F76C0E" w14:textId="77777777" w:rsidR="00C60087" w:rsidRPr="000C50CC" w:rsidRDefault="00C60087" w:rsidP="00CF7C92">
            <w:pPr>
              <w:spacing w:after="0" w:line="240" w:lineRule="auto"/>
              <w:jc w:val="center"/>
              <w:rPr>
                <w:rFonts w:ascii="Cambria" w:hAnsi="Cambria"/>
              </w:rPr>
            </w:pPr>
            <w:r w:rsidRPr="000C50CC">
              <w:rPr>
                <w:rFonts w:ascii="Cambria" w:hAnsi="Cambria"/>
              </w:rPr>
              <w:t>Beginning</w:t>
            </w:r>
          </w:p>
          <w:p w14:paraId="22F90318" w14:textId="77777777" w:rsidR="00C60087" w:rsidRPr="000C50CC" w:rsidRDefault="00C60087" w:rsidP="00CF7C92">
            <w:pPr>
              <w:spacing w:after="0" w:line="240" w:lineRule="auto"/>
              <w:jc w:val="center"/>
              <w:rPr>
                <w:rFonts w:ascii="Cambria" w:hAnsi="Cambria"/>
              </w:rPr>
            </w:pPr>
            <w:r w:rsidRPr="000C50CC">
              <w:rPr>
                <w:rFonts w:ascii="Cambria" w:hAnsi="Cambria"/>
              </w:rPr>
              <w:t>Balance</w:t>
            </w:r>
          </w:p>
        </w:tc>
        <w:tc>
          <w:tcPr>
            <w:tcW w:w="744" w:type="pct"/>
            <w:tcBorders>
              <w:bottom w:val="single" w:sz="4" w:space="0" w:color="auto"/>
            </w:tcBorders>
            <w:vAlign w:val="center"/>
          </w:tcPr>
          <w:p w14:paraId="45F8776D" w14:textId="77777777" w:rsidR="00C60087" w:rsidRPr="000C50CC" w:rsidRDefault="00C60087" w:rsidP="00CF7C92">
            <w:pPr>
              <w:jc w:val="center"/>
              <w:rPr>
                <w:rFonts w:ascii="Cambria" w:hAnsi="Cambria"/>
              </w:rPr>
            </w:pPr>
            <w:r w:rsidRPr="000C50CC">
              <w:rPr>
                <w:rFonts w:ascii="Cambria" w:hAnsi="Cambria"/>
              </w:rPr>
              <w:t>New</w:t>
            </w:r>
          </w:p>
        </w:tc>
        <w:tc>
          <w:tcPr>
            <w:tcW w:w="742" w:type="pct"/>
            <w:tcBorders>
              <w:bottom w:val="single" w:sz="4" w:space="0" w:color="auto"/>
            </w:tcBorders>
            <w:vAlign w:val="center"/>
          </w:tcPr>
          <w:p w14:paraId="680A63EA" w14:textId="77777777" w:rsidR="00C60087" w:rsidRPr="000C50CC" w:rsidRDefault="00C60087" w:rsidP="00CF7C92">
            <w:pPr>
              <w:jc w:val="center"/>
              <w:rPr>
                <w:rFonts w:ascii="Cambria" w:hAnsi="Cambria"/>
              </w:rPr>
            </w:pPr>
            <w:r w:rsidRPr="000C50CC">
              <w:rPr>
                <w:rFonts w:ascii="Cambria" w:hAnsi="Cambria"/>
              </w:rPr>
              <w:t>Resolved</w:t>
            </w:r>
          </w:p>
        </w:tc>
        <w:tc>
          <w:tcPr>
            <w:tcW w:w="744" w:type="pct"/>
            <w:tcBorders>
              <w:bottom w:val="single" w:sz="4" w:space="0" w:color="auto"/>
            </w:tcBorders>
            <w:vAlign w:val="center"/>
          </w:tcPr>
          <w:p w14:paraId="71A8079C" w14:textId="77777777" w:rsidR="00C60087" w:rsidRPr="000C50CC" w:rsidRDefault="00C60087" w:rsidP="00CF7C92">
            <w:pPr>
              <w:jc w:val="center"/>
              <w:rPr>
                <w:rFonts w:ascii="Cambria" w:hAnsi="Cambria"/>
              </w:rPr>
            </w:pPr>
            <w:r w:rsidRPr="000C50CC">
              <w:rPr>
                <w:rFonts w:ascii="Cambria" w:hAnsi="Cambria"/>
              </w:rPr>
              <w:t>Consolidated</w:t>
            </w:r>
          </w:p>
        </w:tc>
        <w:tc>
          <w:tcPr>
            <w:tcW w:w="645" w:type="pct"/>
            <w:tcBorders>
              <w:bottom w:val="single" w:sz="4" w:space="0" w:color="auto"/>
            </w:tcBorders>
            <w:vAlign w:val="center"/>
          </w:tcPr>
          <w:p w14:paraId="5638D253" w14:textId="77777777" w:rsidR="00C60087" w:rsidRPr="000C50CC" w:rsidRDefault="00C60087" w:rsidP="00CF7C92">
            <w:pPr>
              <w:spacing w:after="0"/>
              <w:jc w:val="center"/>
              <w:rPr>
                <w:rFonts w:ascii="Cambria" w:hAnsi="Cambria"/>
              </w:rPr>
            </w:pPr>
            <w:r w:rsidRPr="000C50CC">
              <w:rPr>
                <w:rFonts w:ascii="Cambria" w:hAnsi="Cambria"/>
              </w:rPr>
              <w:t>Ending</w:t>
            </w:r>
          </w:p>
          <w:p w14:paraId="5CE98E4C" w14:textId="77777777" w:rsidR="00C60087" w:rsidRPr="000C50CC" w:rsidRDefault="00C60087" w:rsidP="00CF7C92">
            <w:pPr>
              <w:spacing w:after="0"/>
              <w:jc w:val="center"/>
              <w:rPr>
                <w:rFonts w:ascii="Cambria" w:hAnsi="Cambria"/>
              </w:rPr>
            </w:pPr>
            <w:r w:rsidRPr="000C50CC">
              <w:rPr>
                <w:rFonts w:ascii="Cambria" w:hAnsi="Cambria"/>
              </w:rPr>
              <w:t>Balance</w:t>
            </w:r>
          </w:p>
        </w:tc>
      </w:tr>
      <w:tr w:rsidR="00C60087" w:rsidRPr="000C50CC" w14:paraId="6B88F9FE" w14:textId="77777777" w:rsidTr="00CF7C92">
        <w:trPr>
          <w:trHeight w:val="141"/>
        </w:trPr>
        <w:tc>
          <w:tcPr>
            <w:tcW w:w="1382" w:type="pct"/>
            <w:tcBorders>
              <w:top w:val="single" w:sz="4" w:space="0" w:color="auto"/>
              <w:bottom w:val="single" w:sz="4" w:space="0" w:color="auto"/>
            </w:tcBorders>
            <w:vAlign w:val="center"/>
          </w:tcPr>
          <w:p w14:paraId="5F16D59D" w14:textId="77777777" w:rsidR="00C60087" w:rsidRPr="000C50CC" w:rsidRDefault="00C60087" w:rsidP="00CF7C92">
            <w:pPr>
              <w:ind w:left="135"/>
              <w:rPr>
                <w:rFonts w:ascii="Cambria" w:hAnsi="Cambria"/>
                <w:iCs/>
              </w:rPr>
            </w:pPr>
            <w:r w:rsidRPr="000C50CC">
              <w:rPr>
                <w:rFonts w:ascii="Cambria" w:hAnsi="Cambria"/>
                <w:iCs/>
              </w:rPr>
              <w:t>Total Material Weaknesses</w:t>
            </w:r>
          </w:p>
        </w:tc>
        <w:tc>
          <w:tcPr>
            <w:tcW w:w="743" w:type="pct"/>
            <w:tcBorders>
              <w:top w:val="single" w:sz="4" w:space="0" w:color="auto"/>
              <w:bottom w:val="single" w:sz="4" w:space="0" w:color="auto"/>
            </w:tcBorders>
            <w:vAlign w:val="center"/>
          </w:tcPr>
          <w:p w14:paraId="0A0DC028"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4C916305" w14:textId="77777777" w:rsidR="00C60087" w:rsidRPr="000C50CC" w:rsidRDefault="00C60087" w:rsidP="00CF7C92">
            <w:pPr>
              <w:jc w:val="center"/>
              <w:rPr>
                <w:rFonts w:ascii="Cambria" w:hAnsi="Cambria"/>
              </w:rPr>
            </w:pPr>
            <w:r w:rsidRPr="000C50CC">
              <w:rPr>
                <w:rFonts w:ascii="Cambria" w:hAnsi="Cambria"/>
              </w:rPr>
              <w:t>0</w:t>
            </w:r>
          </w:p>
        </w:tc>
        <w:tc>
          <w:tcPr>
            <w:tcW w:w="742" w:type="pct"/>
            <w:tcBorders>
              <w:top w:val="single" w:sz="4" w:space="0" w:color="auto"/>
              <w:bottom w:val="single" w:sz="4" w:space="0" w:color="auto"/>
            </w:tcBorders>
            <w:vAlign w:val="center"/>
          </w:tcPr>
          <w:p w14:paraId="0090A245"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47ADD050" w14:textId="77777777" w:rsidR="00C60087" w:rsidRPr="000C50CC" w:rsidRDefault="00C60087" w:rsidP="00CF7C92">
            <w:pPr>
              <w:jc w:val="center"/>
              <w:rPr>
                <w:rFonts w:ascii="Cambria" w:hAnsi="Cambria"/>
              </w:rPr>
            </w:pPr>
            <w:r w:rsidRPr="000C50CC">
              <w:rPr>
                <w:rFonts w:ascii="Cambria" w:hAnsi="Cambria"/>
              </w:rPr>
              <w:t>0</w:t>
            </w:r>
          </w:p>
        </w:tc>
        <w:tc>
          <w:tcPr>
            <w:tcW w:w="645" w:type="pct"/>
            <w:tcBorders>
              <w:top w:val="single" w:sz="4" w:space="0" w:color="auto"/>
              <w:bottom w:val="single" w:sz="4" w:space="0" w:color="auto"/>
            </w:tcBorders>
            <w:vAlign w:val="center"/>
          </w:tcPr>
          <w:p w14:paraId="721D5D16" w14:textId="77777777" w:rsidR="00C60087" w:rsidRPr="000C50CC" w:rsidRDefault="00C60087" w:rsidP="00CF7C92">
            <w:pPr>
              <w:jc w:val="center"/>
              <w:rPr>
                <w:rFonts w:ascii="Cambria" w:hAnsi="Cambria"/>
              </w:rPr>
            </w:pPr>
            <w:r w:rsidRPr="000C50CC">
              <w:rPr>
                <w:rFonts w:ascii="Cambria" w:hAnsi="Cambria"/>
              </w:rPr>
              <w:t>0</w:t>
            </w:r>
          </w:p>
        </w:tc>
      </w:tr>
      <w:tr w:rsidR="00C60087" w:rsidRPr="000C50CC" w14:paraId="6591F4E5" w14:textId="77777777" w:rsidTr="00CF7C92">
        <w:trPr>
          <w:trHeight w:val="140"/>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00EB7FC9" w14:textId="77777777" w:rsidR="00C60087" w:rsidRPr="000C50CC" w:rsidRDefault="00C60087" w:rsidP="00CF7C92">
            <w:pPr>
              <w:ind w:right="-165"/>
              <w:jc w:val="center"/>
              <w:rPr>
                <w:rFonts w:ascii="Cambria" w:hAnsi="Cambria"/>
                <w:b/>
                <w:bCs/>
                <w:sz w:val="24"/>
                <w:szCs w:val="24"/>
              </w:rPr>
            </w:pPr>
            <w:bookmarkStart w:id="141" w:name="Table_2._Summary_of_Management_Assurance"/>
            <w:bookmarkEnd w:id="140"/>
            <w:bookmarkEnd w:id="141"/>
            <w:r w:rsidRPr="000C50CC">
              <w:rPr>
                <w:rFonts w:ascii="Cambria" w:hAnsi="Cambria"/>
                <w:b/>
                <w:bCs/>
                <w:sz w:val="24"/>
                <w:szCs w:val="24"/>
              </w:rPr>
              <w:t>Summary of Management Assurances</w:t>
            </w:r>
          </w:p>
        </w:tc>
      </w:tr>
      <w:tr w:rsidR="00C60087" w:rsidRPr="000C50CC" w14:paraId="0A3ACCEE" w14:textId="77777777" w:rsidTr="00CF7C92">
        <w:trPr>
          <w:trHeight w:val="140"/>
        </w:trPr>
        <w:tc>
          <w:tcPr>
            <w:tcW w:w="5000" w:type="pct"/>
            <w:gridSpan w:val="6"/>
            <w:tcBorders>
              <w:top w:val="single" w:sz="4" w:space="0" w:color="auto"/>
              <w:left w:val="single" w:sz="4" w:space="0" w:color="auto"/>
              <w:bottom w:val="single" w:sz="4" w:space="0" w:color="auto"/>
              <w:right w:val="single" w:sz="4" w:space="0" w:color="auto"/>
            </w:tcBorders>
            <w:shd w:val="clear" w:color="auto" w:fill="EDEDED"/>
            <w:vAlign w:val="center"/>
          </w:tcPr>
          <w:p w14:paraId="2B6CDBD9" w14:textId="77777777" w:rsidR="00C60087" w:rsidRPr="009C01C4" w:rsidRDefault="00C60087" w:rsidP="00CF7C92">
            <w:pPr>
              <w:ind w:left="75" w:right="-165"/>
              <w:jc w:val="center"/>
              <w:rPr>
                <w:rFonts w:ascii="Cambria" w:hAnsi="Cambria"/>
                <w:b/>
                <w:bCs/>
              </w:rPr>
            </w:pPr>
            <w:r w:rsidRPr="009C01C4">
              <w:rPr>
                <w:rFonts w:ascii="Cambria" w:hAnsi="Cambria"/>
                <w:b/>
                <w:bCs/>
              </w:rPr>
              <w:t>Effectiveness of Internal Control over Financial Reporting (FMFIA § 2)</w:t>
            </w:r>
          </w:p>
        </w:tc>
      </w:tr>
      <w:tr w:rsidR="00C60087" w:rsidRPr="000C50CC" w14:paraId="66815759" w14:textId="77777777" w:rsidTr="00CF7C92">
        <w:trPr>
          <w:trHeight w:val="140"/>
        </w:trPr>
        <w:tc>
          <w:tcPr>
            <w:tcW w:w="1382" w:type="pct"/>
            <w:tcBorders>
              <w:bottom w:val="single" w:sz="4" w:space="0" w:color="auto"/>
            </w:tcBorders>
            <w:vAlign w:val="center"/>
          </w:tcPr>
          <w:p w14:paraId="0CD489AD" w14:textId="77777777" w:rsidR="00C60087" w:rsidRPr="000C50CC" w:rsidRDefault="00C60087" w:rsidP="00CF7C92">
            <w:pPr>
              <w:ind w:left="135" w:right="-165"/>
              <w:rPr>
                <w:rFonts w:ascii="Cambria" w:hAnsi="Cambria"/>
              </w:rPr>
            </w:pPr>
            <w:r w:rsidRPr="000C50CC">
              <w:rPr>
                <w:rFonts w:ascii="Cambria" w:hAnsi="Cambria"/>
              </w:rPr>
              <w:t>Statement of Assurance</w:t>
            </w:r>
          </w:p>
        </w:tc>
        <w:tc>
          <w:tcPr>
            <w:tcW w:w="3618" w:type="pct"/>
            <w:gridSpan w:val="5"/>
            <w:tcBorders>
              <w:bottom w:val="single" w:sz="4" w:space="0" w:color="auto"/>
            </w:tcBorders>
            <w:vAlign w:val="center"/>
          </w:tcPr>
          <w:p w14:paraId="50B262B3" w14:textId="77777777" w:rsidR="00C60087" w:rsidRPr="000C50CC" w:rsidRDefault="00C60087" w:rsidP="00CF7C92">
            <w:pPr>
              <w:ind w:left="75" w:right="-165"/>
              <w:rPr>
                <w:rFonts w:ascii="Cambria" w:hAnsi="Cambria"/>
              </w:rPr>
            </w:pPr>
            <w:r w:rsidRPr="000C50CC">
              <w:rPr>
                <w:rFonts w:ascii="Cambria" w:hAnsi="Cambria"/>
              </w:rPr>
              <w:t>Unmodified</w:t>
            </w:r>
          </w:p>
        </w:tc>
      </w:tr>
      <w:tr w:rsidR="00C60087" w:rsidRPr="000C50CC" w14:paraId="516D22D0" w14:textId="77777777" w:rsidTr="00CF7C92">
        <w:trPr>
          <w:trHeight w:val="286"/>
        </w:trPr>
        <w:tc>
          <w:tcPr>
            <w:tcW w:w="1382" w:type="pct"/>
            <w:tcBorders>
              <w:bottom w:val="single" w:sz="4" w:space="0" w:color="auto"/>
            </w:tcBorders>
            <w:vAlign w:val="center"/>
          </w:tcPr>
          <w:p w14:paraId="0B00E7DF" w14:textId="77777777" w:rsidR="00C60087" w:rsidRPr="000C50CC" w:rsidRDefault="00C60087" w:rsidP="00CF7C92">
            <w:pPr>
              <w:ind w:left="135"/>
              <w:rPr>
                <w:rFonts w:ascii="Cambria" w:hAnsi="Cambria"/>
              </w:rPr>
            </w:pPr>
            <w:r w:rsidRPr="000C50CC">
              <w:rPr>
                <w:rFonts w:ascii="Cambria" w:hAnsi="Cambria"/>
              </w:rPr>
              <w:t>Material Weaknesses</w:t>
            </w:r>
          </w:p>
        </w:tc>
        <w:tc>
          <w:tcPr>
            <w:tcW w:w="743" w:type="pct"/>
            <w:tcBorders>
              <w:bottom w:val="single" w:sz="4" w:space="0" w:color="auto"/>
            </w:tcBorders>
            <w:vAlign w:val="center"/>
          </w:tcPr>
          <w:p w14:paraId="3CCC1720" w14:textId="77777777" w:rsidR="00C60087" w:rsidRPr="000C50CC" w:rsidRDefault="00C60087" w:rsidP="00CF7C92">
            <w:pPr>
              <w:spacing w:after="0"/>
              <w:jc w:val="center"/>
              <w:rPr>
                <w:rFonts w:ascii="Cambria" w:hAnsi="Cambria"/>
              </w:rPr>
            </w:pPr>
            <w:r w:rsidRPr="000C50CC">
              <w:rPr>
                <w:rFonts w:ascii="Cambria" w:hAnsi="Cambria"/>
              </w:rPr>
              <w:t>Beginning</w:t>
            </w:r>
          </w:p>
          <w:p w14:paraId="7C9FFA8B" w14:textId="77777777" w:rsidR="00C60087" w:rsidRPr="000C50CC" w:rsidRDefault="00C60087" w:rsidP="00CF7C92">
            <w:pPr>
              <w:spacing w:after="0"/>
              <w:jc w:val="center"/>
              <w:rPr>
                <w:rFonts w:ascii="Cambria" w:hAnsi="Cambria"/>
              </w:rPr>
            </w:pPr>
            <w:r w:rsidRPr="000C50CC">
              <w:rPr>
                <w:rFonts w:ascii="Cambria" w:hAnsi="Cambria"/>
              </w:rPr>
              <w:t>Balance</w:t>
            </w:r>
          </w:p>
        </w:tc>
        <w:tc>
          <w:tcPr>
            <w:tcW w:w="744" w:type="pct"/>
            <w:tcBorders>
              <w:bottom w:val="single" w:sz="4" w:space="0" w:color="auto"/>
            </w:tcBorders>
            <w:vAlign w:val="center"/>
          </w:tcPr>
          <w:p w14:paraId="205B911F" w14:textId="77777777" w:rsidR="00C60087" w:rsidRPr="000C50CC" w:rsidRDefault="00C60087" w:rsidP="00CF7C92">
            <w:pPr>
              <w:jc w:val="center"/>
              <w:rPr>
                <w:rFonts w:ascii="Cambria" w:hAnsi="Cambria"/>
              </w:rPr>
            </w:pPr>
            <w:r w:rsidRPr="000C50CC">
              <w:rPr>
                <w:rFonts w:ascii="Cambria" w:hAnsi="Cambria"/>
              </w:rPr>
              <w:t>New</w:t>
            </w:r>
          </w:p>
        </w:tc>
        <w:tc>
          <w:tcPr>
            <w:tcW w:w="742" w:type="pct"/>
            <w:tcBorders>
              <w:bottom w:val="single" w:sz="4" w:space="0" w:color="auto"/>
            </w:tcBorders>
            <w:vAlign w:val="center"/>
          </w:tcPr>
          <w:p w14:paraId="73DB1804" w14:textId="77777777" w:rsidR="00C60087" w:rsidRPr="000C50CC" w:rsidRDefault="00C60087" w:rsidP="00CF7C92">
            <w:pPr>
              <w:jc w:val="center"/>
              <w:rPr>
                <w:rFonts w:ascii="Cambria" w:hAnsi="Cambria"/>
              </w:rPr>
            </w:pPr>
            <w:r w:rsidRPr="000C50CC">
              <w:rPr>
                <w:rFonts w:ascii="Cambria" w:hAnsi="Cambria"/>
              </w:rPr>
              <w:t>Resolved</w:t>
            </w:r>
          </w:p>
        </w:tc>
        <w:tc>
          <w:tcPr>
            <w:tcW w:w="744" w:type="pct"/>
            <w:tcBorders>
              <w:bottom w:val="single" w:sz="4" w:space="0" w:color="auto"/>
            </w:tcBorders>
            <w:vAlign w:val="center"/>
          </w:tcPr>
          <w:p w14:paraId="373555C7" w14:textId="77777777" w:rsidR="00C60087" w:rsidRPr="000C50CC" w:rsidRDefault="00C60087" w:rsidP="00CF7C92">
            <w:pPr>
              <w:jc w:val="center"/>
              <w:rPr>
                <w:rFonts w:ascii="Cambria" w:hAnsi="Cambria"/>
              </w:rPr>
            </w:pPr>
            <w:r w:rsidRPr="000C50CC">
              <w:rPr>
                <w:rFonts w:ascii="Cambria" w:hAnsi="Cambria"/>
              </w:rPr>
              <w:t>Consolidated</w:t>
            </w:r>
          </w:p>
        </w:tc>
        <w:tc>
          <w:tcPr>
            <w:tcW w:w="645" w:type="pct"/>
            <w:tcBorders>
              <w:bottom w:val="single" w:sz="4" w:space="0" w:color="auto"/>
            </w:tcBorders>
            <w:vAlign w:val="center"/>
          </w:tcPr>
          <w:p w14:paraId="142884BE" w14:textId="77777777" w:rsidR="00C60087" w:rsidRPr="000C50CC" w:rsidRDefault="00C60087" w:rsidP="00CF7C92">
            <w:pPr>
              <w:spacing w:after="0"/>
              <w:jc w:val="center"/>
              <w:rPr>
                <w:rFonts w:ascii="Cambria" w:hAnsi="Cambria"/>
              </w:rPr>
            </w:pPr>
            <w:r w:rsidRPr="000C50CC">
              <w:rPr>
                <w:rFonts w:ascii="Cambria" w:hAnsi="Cambria"/>
              </w:rPr>
              <w:t>Ending</w:t>
            </w:r>
          </w:p>
          <w:p w14:paraId="71793181" w14:textId="77777777" w:rsidR="00C60087" w:rsidRPr="000C50CC" w:rsidRDefault="00C60087" w:rsidP="00CF7C92">
            <w:pPr>
              <w:spacing w:after="0"/>
              <w:jc w:val="center"/>
              <w:rPr>
                <w:rFonts w:ascii="Cambria" w:hAnsi="Cambria"/>
              </w:rPr>
            </w:pPr>
            <w:r w:rsidRPr="000C50CC">
              <w:rPr>
                <w:rFonts w:ascii="Cambria" w:hAnsi="Cambria"/>
              </w:rPr>
              <w:t>Balance</w:t>
            </w:r>
          </w:p>
        </w:tc>
      </w:tr>
      <w:tr w:rsidR="00C60087" w:rsidRPr="000C50CC" w14:paraId="6098B92F" w14:textId="77777777" w:rsidTr="00CF7C92">
        <w:trPr>
          <w:trHeight w:val="141"/>
        </w:trPr>
        <w:tc>
          <w:tcPr>
            <w:tcW w:w="1382" w:type="pct"/>
            <w:tcBorders>
              <w:top w:val="single" w:sz="4" w:space="0" w:color="auto"/>
              <w:bottom w:val="single" w:sz="4" w:space="0" w:color="auto"/>
            </w:tcBorders>
            <w:vAlign w:val="center"/>
          </w:tcPr>
          <w:p w14:paraId="62DD76A1" w14:textId="77777777" w:rsidR="00C60087" w:rsidRPr="000C50CC" w:rsidRDefault="00C60087" w:rsidP="00CF7C92">
            <w:pPr>
              <w:ind w:left="135"/>
              <w:rPr>
                <w:rFonts w:ascii="Cambria" w:hAnsi="Cambria"/>
                <w:iCs/>
              </w:rPr>
            </w:pPr>
            <w:r w:rsidRPr="000C50CC">
              <w:rPr>
                <w:rFonts w:ascii="Cambria" w:hAnsi="Cambria"/>
                <w:iCs/>
              </w:rPr>
              <w:t>Total Material Weaknesses</w:t>
            </w:r>
          </w:p>
        </w:tc>
        <w:tc>
          <w:tcPr>
            <w:tcW w:w="743" w:type="pct"/>
            <w:tcBorders>
              <w:top w:val="single" w:sz="4" w:space="0" w:color="auto"/>
              <w:bottom w:val="single" w:sz="4" w:space="0" w:color="auto"/>
            </w:tcBorders>
            <w:vAlign w:val="center"/>
          </w:tcPr>
          <w:p w14:paraId="651CDBFF"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1F30B9DA" w14:textId="77777777" w:rsidR="00C60087" w:rsidRPr="000C50CC" w:rsidRDefault="00C60087" w:rsidP="00CF7C92">
            <w:pPr>
              <w:jc w:val="center"/>
              <w:rPr>
                <w:rFonts w:ascii="Cambria" w:hAnsi="Cambria"/>
              </w:rPr>
            </w:pPr>
            <w:r w:rsidRPr="000C50CC">
              <w:rPr>
                <w:rFonts w:ascii="Cambria" w:hAnsi="Cambria"/>
              </w:rPr>
              <w:t>0</w:t>
            </w:r>
          </w:p>
        </w:tc>
        <w:tc>
          <w:tcPr>
            <w:tcW w:w="742" w:type="pct"/>
            <w:tcBorders>
              <w:top w:val="single" w:sz="4" w:space="0" w:color="auto"/>
              <w:bottom w:val="single" w:sz="4" w:space="0" w:color="auto"/>
            </w:tcBorders>
            <w:vAlign w:val="center"/>
          </w:tcPr>
          <w:p w14:paraId="2B56AF79"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37966F2D" w14:textId="77777777" w:rsidR="00C60087" w:rsidRPr="000C50CC" w:rsidRDefault="00C60087" w:rsidP="00CF7C92">
            <w:pPr>
              <w:jc w:val="center"/>
              <w:rPr>
                <w:rFonts w:ascii="Cambria" w:hAnsi="Cambria"/>
              </w:rPr>
            </w:pPr>
            <w:r w:rsidRPr="000C50CC">
              <w:rPr>
                <w:rFonts w:ascii="Cambria" w:hAnsi="Cambria"/>
              </w:rPr>
              <w:t>0</w:t>
            </w:r>
          </w:p>
        </w:tc>
        <w:tc>
          <w:tcPr>
            <w:tcW w:w="645" w:type="pct"/>
            <w:tcBorders>
              <w:top w:val="single" w:sz="4" w:space="0" w:color="auto"/>
              <w:bottom w:val="single" w:sz="4" w:space="0" w:color="auto"/>
            </w:tcBorders>
            <w:vAlign w:val="center"/>
          </w:tcPr>
          <w:p w14:paraId="2133F05C" w14:textId="77777777" w:rsidR="00C60087" w:rsidRPr="000C50CC" w:rsidRDefault="00C60087" w:rsidP="00CF7C92">
            <w:pPr>
              <w:jc w:val="center"/>
              <w:rPr>
                <w:rFonts w:ascii="Cambria" w:hAnsi="Cambria"/>
              </w:rPr>
            </w:pPr>
            <w:r w:rsidRPr="000C50CC">
              <w:rPr>
                <w:rFonts w:ascii="Cambria" w:hAnsi="Cambria"/>
              </w:rPr>
              <w:t>0</w:t>
            </w:r>
          </w:p>
        </w:tc>
      </w:tr>
      <w:tr w:rsidR="00C60087" w:rsidRPr="000C50CC" w14:paraId="080FF188" w14:textId="77777777" w:rsidTr="00CF7C92">
        <w:trPr>
          <w:trHeight w:val="140"/>
        </w:trPr>
        <w:tc>
          <w:tcPr>
            <w:tcW w:w="5000" w:type="pct"/>
            <w:gridSpan w:val="6"/>
            <w:tcBorders>
              <w:top w:val="single" w:sz="4" w:space="0" w:color="auto"/>
              <w:left w:val="single" w:sz="4" w:space="0" w:color="auto"/>
              <w:bottom w:val="single" w:sz="4" w:space="0" w:color="auto"/>
              <w:right w:val="single" w:sz="4" w:space="0" w:color="auto"/>
            </w:tcBorders>
            <w:shd w:val="clear" w:color="auto" w:fill="EDEDED"/>
            <w:vAlign w:val="center"/>
          </w:tcPr>
          <w:p w14:paraId="5E053004" w14:textId="77777777" w:rsidR="00C60087" w:rsidRPr="009C01C4" w:rsidRDefault="00C60087" w:rsidP="00CF7C92">
            <w:pPr>
              <w:ind w:left="75" w:right="-165"/>
              <w:jc w:val="center"/>
              <w:rPr>
                <w:rFonts w:ascii="Cambria" w:hAnsi="Cambria"/>
                <w:b/>
                <w:bCs/>
              </w:rPr>
            </w:pPr>
            <w:r w:rsidRPr="009C01C4">
              <w:rPr>
                <w:rFonts w:ascii="Cambria" w:hAnsi="Cambria"/>
                <w:b/>
                <w:bCs/>
              </w:rPr>
              <w:t>Effectiveness of Internal Control over Operations (FMFIA § 2)</w:t>
            </w:r>
          </w:p>
        </w:tc>
      </w:tr>
      <w:tr w:rsidR="00C60087" w:rsidRPr="000C50CC" w14:paraId="3583CA97" w14:textId="77777777" w:rsidTr="00CF7C92">
        <w:trPr>
          <w:trHeight w:val="140"/>
        </w:trPr>
        <w:tc>
          <w:tcPr>
            <w:tcW w:w="1382" w:type="pct"/>
            <w:tcBorders>
              <w:bottom w:val="single" w:sz="4" w:space="0" w:color="auto"/>
            </w:tcBorders>
            <w:vAlign w:val="center"/>
          </w:tcPr>
          <w:p w14:paraId="66B1AD58" w14:textId="77777777" w:rsidR="00C60087" w:rsidRPr="000C50CC" w:rsidRDefault="00C60087" w:rsidP="00CF7C92">
            <w:pPr>
              <w:ind w:left="135" w:right="-165"/>
              <w:rPr>
                <w:rFonts w:ascii="Cambria" w:hAnsi="Cambria"/>
              </w:rPr>
            </w:pPr>
            <w:r w:rsidRPr="000C50CC">
              <w:rPr>
                <w:rFonts w:ascii="Cambria" w:hAnsi="Cambria"/>
              </w:rPr>
              <w:t>Statement of Assurance</w:t>
            </w:r>
          </w:p>
        </w:tc>
        <w:tc>
          <w:tcPr>
            <w:tcW w:w="3618" w:type="pct"/>
            <w:gridSpan w:val="5"/>
            <w:tcBorders>
              <w:bottom w:val="single" w:sz="4" w:space="0" w:color="auto"/>
            </w:tcBorders>
            <w:vAlign w:val="center"/>
          </w:tcPr>
          <w:p w14:paraId="4953F8FC" w14:textId="77777777" w:rsidR="00C60087" w:rsidRPr="000C50CC" w:rsidRDefault="00C60087" w:rsidP="00CF7C92">
            <w:pPr>
              <w:ind w:left="75" w:right="-165"/>
              <w:rPr>
                <w:rFonts w:ascii="Cambria" w:hAnsi="Cambria"/>
              </w:rPr>
            </w:pPr>
            <w:r w:rsidRPr="000C50CC">
              <w:rPr>
                <w:rFonts w:ascii="Cambria" w:hAnsi="Cambria"/>
              </w:rPr>
              <w:t>Unmodified</w:t>
            </w:r>
          </w:p>
        </w:tc>
      </w:tr>
      <w:tr w:rsidR="00C60087" w:rsidRPr="000C50CC" w14:paraId="079CB890" w14:textId="77777777" w:rsidTr="00CF7C92">
        <w:trPr>
          <w:trHeight w:val="286"/>
        </w:trPr>
        <w:tc>
          <w:tcPr>
            <w:tcW w:w="1382" w:type="pct"/>
            <w:tcBorders>
              <w:bottom w:val="single" w:sz="4" w:space="0" w:color="auto"/>
            </w:tcBorders>
            <w:vAlign w:val="center"/>
          </w:tcPr>
          <w:p w14:paraId="1BFFE40A" w14:textId="77777777" w:rsidR="00C60087" w:rsidRPr="000C50CC" w:rsidRDefault="00C60087" w:rsidP="00CF7C92">
            <w:pPr>
              <w:ind w:left="135"/>
              <w:rPr>
                <w:rFonts w:ascii="Cambria" w:hAnsi="Cambria"/>
              </w:rPr>
            </w:pPr>
            <w:r w:rsidRPr="000C50CC">
              <w:rPr>
                <w:rFonts w:ascii="Cambria" w:hAnsi="Cambria"/>
              </w:rPr>
              <w:t>Material Weaknesses</w:t>
            </w:r>
          </w:p>
        </w:tc>
        <w:tc>
          <w:tcPr>
            <w:tcW w:w="743" w:type="pct"/>
            <w:tcBorders>
              <w:bottom w:val="single" w:sz="4" w:space="0" w:color="auto"/>
            </w:tcBorders>
            <w:vAlign w:val="center"/>
          </w:tcPr>
          <w:p w14:paraId="42DC1DAA" w14:textId="77777777" w:rsidR="00C60087" w:rsidRPr="000C50CC" w:rsidRDefault="00C60087" w:rsidP="00CF7C92">
            <w:pPr>
              <w:spacing w:after="0"/>
              <w:jc w:val="center"/>
              <w:rPr>
                <w:rFonts w:ascii="Cambria" w:hAnsi="Cambria"/>
              </w:rPr>
            </w:pPr>
            <w:r w:rsidRPr="000C50CC">
              <w:rPr>
                <w:rFonts w:ascii="Cambria" w:hAnsi="Cambria"/>
              </w:rPr>
              <w:t>Beginning</w:t>
            </w:r>
          </w:p>
          <w:p w14:paraId="116AC7EB" w14:textId="77777777" w:rsidR="00C60087" w:rsidRPr="000C50CC" w:rsidRDefault="00C60087" w:rsidP="00CF7C92">
            <w:pPr>
              <w:spacing w:after="0"/>
              <w:jc w:val="center"/>
              <w:rPr>
                <w:rFonts w:ascii="Cambria" w:hAnsi="Cambria"/>
              </w:rPr>
            </w:pPr>
            <w:r w:rsidRPr="000C50CC">
              <w:rPr>
                <w:rFonts w:ascii="Cambria" w:hAnsi="Cambria"/>
              </w:rPr>
              <w:t>Balance</w:t>
            </w:r>
          </w:p>
        </w:tc>
        <w:tc>
          <w:tcPr>
            <w:tcW w:w="744" w:type="pct"/>
            <w:tcBorders>
              <w:bottom w:val="single" w:sz="4" w:space="0" w:color="auto"/>
            </w:tcBorders>
            <w:vAlign w:val="center"/>
          </w:tcPr>
          <w:p w14:paraId="48844EF3" w14:textId="77777777" w:rsidR="00C60087" w:rsidRPr="000C50CC" w:rsidRDefault="00C60087" w:rsidP="00CF7C92">
            <w:pPr>
              <w:jc w:val="center"/>
              <w:rPr>
                <w:rFonts w:ascii="Cambria" w:hAnsi="Cambria"/>
              </w:rPr>
            </w:pPr>
            <w:r w:rsidRPr="000C50CC">
              <w:rPr>
                <w:rFonts w:ascii="Cambria" w:hAnsi="Cambria"/>
              </w:rPr>
              <w:t>New</w:t>
            </w:r>
          </w:p>
        </w:tc>
        <w:tc>
          <w:tcPr>
            <w:tcW w:w="742" w:type="pct"/>
            <w:tcBorders>
              <w:bottom w:val="single" w:sz="4" w:space="0" w:color="auto"/>
            </w:tcBorders>
            <w:vAlign w:val="center"/>
          </w:tcPr>
          <w:p w14:paraId="16D58C2F" w14:textId="77777777" w:rsidR="00C60087" w:rsidRPr="000C50CC" w:rsidRDefault="00C60087" w:rsidP="00CF7C92">
            <w:pPr>
              <w:jc w:val="center"/>
              <w:rPr>
                <w:rFonts w:ascii="Cambria" w:hAnsi="Cambria"/>
              </w:rPr>
            </w:pPr>
            <w:r w:rsidRPr="000C50CC">
              <w:rPr>
                <w:rFonts w:ascii="Cambria" w:hAnsi="Cambria"/>
              </w:rPr>
              <w:t>Resolved</w:t>
            </w:r>
          </w:p>
        </w:tc>
        <w:tc>
          <w:tcPr>
            <w:tcW w:w="744" w:type="pct"/>
            <w:tcBorders>
              <w:bottom w:val="single" w:sz="4" w:space="0" w:color="auto"/>
            </w:tcBorders>
            <w:vAlign w:val="center"/>
          </w:tcPr>
          <w:p w14:paraId="196F9AA1" w14:textId="77777777" w:rsidR="00C60087" w:rsidRPr="000C50CC" w:rsidRDefault="00C60087" w:rsidP="00CF7C92">
            <w:pPr>
              <w:jc w:val="center"/>
              <w:rPr>
                <w:rFonts w:ascii="Cambria" w:hAnsi="Cambria"/>
              </w:rPr>
            </w:pPr>
            <w:r w:rsidRPr="000C50CC">
              <w:rPr>
                <w:rFonts w:ascii="Cambria" w:hAnsi="Cambria"/>
              </w:rPr>
              <w:t>Consolidated</w:t>
            </w:r>
          </w:p>
        </w:tc>
        <w:tc>
          <w:tcPr>
            <w:tcW w:w="645" w:type="pct"/>
            <w:tcBorders>
              <w:bottom w:val="single" w:sz="4" w:space="0" w:color="auto"/>
            </w:tcBorders>
            <w:vAlign w:val="center"/>
          </w:tcPr>
          <w:p w14:paraId="698BC4C3" w14:textId="77777777" w:rsidR="00C60087" w:rsidRPr="000C50CC" w:rsidRDefault="00C60087" w:rsidP="00CF7C92">
            <w:pPr>
              <w:spacing w:after="0"/>
              <w:jc w:val="center"/>
              <w:rPr>
                <w:rFonts w:ascii="Cambria" w:hAnsi="Cambria"/>
              </w:rPr>
            </w:pPr>
            <w:r w:rsidRPr="000C50CC">
              <w:rPr>
                <w:rFonts w:ascii="Cambria" w:hAnsi="Cambria"/>
              </w:rPr>
              <w:t>Ending</w:t>
            </w:r>
          </w:p>
          <w:p w14:paraId="32086879" w14:textId="77777777" w:rsidR="00C60087" w:rsidRPr="000C50CC" w:rsidRDefault="00C60087" w:rsidP="00CF7C92">
            <w:pPr>
              <w:spacing w:after="0"/>
              <w:jc w:val="center"/>
              <w:rPr>
                <w:rFonts w:ascii="Cambria" w:hAnsi="Cambria"/>
              </w:rPr>
            </w:pPr>
            <w:r w:rsidRPr="000C50CC">
              <w:rPr>
                <w:rFonts w:ascii="Cambria" w:hAnsi="Cambria"/>
              </w:rPr>
              <w:t>Balance</w:t>
            </w:r>
          </w:p>
        </w:tc>
      </w:tr>
      <w:tr w:rsidR="00C60087" w:rsidRPr="000C50CC" w14:paraId="141EB393" w14:textId="77777777" w:rsidTr="00CF7C92">
        <w:trPr>
          <w:trHeight w:val="141"/>
        </w:trPr>
        <w:tc>
          <w:tcPr>
            <w:tcW w:w="1382" w:type="pct"/>
            <w:tcBorders>
              <w:top w:val="single" w:sz="4" w:space="0" w:color="auto"/>
              <w:bottom w:val="single" w:sz="4" w:space="0" w:color="auto"/>
            </w:tcBorders>
            <w:vAlign w:val="center"/>
          </w:tcPr>
          <w:p w14:paraId="22610E2F" w14:textId="77777777" w:rsidR="00C60087" w:rsidRPr="000C50CC" w:rsidRDefault="00C60087" w:rsidP="00CF7C92">
            <w:pPr>
              <w:ind w:left="135"/>
              <w:rPr>
                <w:rFonts w:ascii="Cambria" w:hAnsi="Cambria"/>
                <w:iCs/>
              </w:rPr>
            </w:pPr>
            <w:r w:rsidRPr="000C50CC">
              <w:rPr>
                <w:rFonts w:ascii="Cambria" w:hAnsi="Cambria"/>
                <w:iCs/>
              </w:rPr>
              <w:t>Total Material Weaknesses</w:t>
            </w:r>
          </w:p>
        </w:tc>
        <w:tc>
          <w:tcPr>
            <w:tcW w:w="743" w:type="pct"/>
            <w:tcBorders>
              <w:top w:val="single" w:sz="4" w:space="0" w:color="auto"/>
              <w:bottom w:val="single" w:sz="4" w:space="0" w:color="auto"/>
            </w:tcBorders>
            <w:vAlign w:val="center"/>
          </w:tcPr>
          <w:p w14:paraId="0069D873"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77A1702B" w14:textId="77777777" w:rsidR="00C60087" w:rsidRPr="000C50CC" w:rsidRDefault="00C60087" w:rsidP="00CF7C92">
            <w:pPr>
              <w:jc w:val="center"/>
              <w:rPr>
                <w:rFonts w:ascii="Cambria" w:hAnsi="Cambria"/>
              </w:rPr>
            </w:pPr>
            <w:r w:rsidRPr="000C50CC">
              <w:rPr>
                <w:rFonts w:ascii="Cambria" w:hAnsi="Cambria"/>
              </w:rPr>
              <w:t>0</w:t>
            </w:r>
          </w:p>
        </w:tc>
        <w:tc>
          <w:tcPr>
            <w:tcW w:w="742" w:type="pct"/>
            <w:tcBorders>
              <w:top w:val="single" w:sz="4" w:space="0" w:color="auto"/>
              <w:bottom w:val="single" w:sz="4" w:space="0" w:color="auto"/>
            </w:tcBorders>
            <w:vAlign w:val="center"/>
          </w:tcPr>
          <w:p w14:paraId="07590AE7"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7E03E35B" w14:textId="77777777" w:rsidR="00C60087" w:rsidRPr="000C50CC" w:rsidRDefault="00C60087" w:rsidP="00CF7C92">
            <w:pPr>
              <w:jc w:val="center"/>
              <w:rPr>
                <w:rFonts w:ascii="Cambria" w:hAnsi="Cambria"/>
              </w:rPr>
            </w:pPr>
            <w:r w:rsidRPr="000C50CC">
              <w:rPr>
                <w:rFonts w:ascii="Cambria" w:hAnsi="Cambria"/>
              </w:rPr>
              <w:t>0</w:t>
            </w:r>
          </w:p>
        </w:tc>
        <w:tc>
          <w:tcPr>
            <w:tcW w:w="645" w:type="pct"/>
            <w:tcBorders>
              <w:top w:val="single" w:sz="4" w:space="0" w:color="auto"/>
              <w:bottom w:val="single" w:sz="4" w:space="0" w:color="auto"/>
            </w:tcBorders>
            <w:vAlign w:val="center"/>
          </w:tcPr>
          <w:p w14:paraId="76361709" w14:textId="77777777" w:rsidR="00C60087" w:rsidRPr="000C50CC" w:rsidRDefault="00C60087" w:rsidP="00CF7C92">
            <w:pPr>
              <w:jc w:val="center"/>
              <w:rPr>
                <w:rFonts w:ascii="Cambria" w:hAnsi="Cambria"/>
              </w:rPr>
            </w:pPr>
            <w:r w:rsidRPr="000C50CC">
              <w:rPr>
                <w:rFonts w:ascii="Cambria" w:hAnsi="Cambria"/>
              </w:rPr>
              <w:t>0</w:t>
            </w:r>
          </w:p>
        </w:tc>
      </w:tr>
      <w:tr w:rsidR="00C60087" w:rsidRPr="000C50CC" w14:paraId="252A7E10" w14:textId="77777777" w:rsidTr="00CF7C92">
        <w:trPr>
          <w:trHeight w:val="140"/>
        </w:trPr>
        <w:tc>
          <w:tcPr>
            <w:tcW w:w="5000" w:type="pct"/>
            <w:gridSpan w:val="6"/>
            <w:tcBorders>
              <w:top w:val="single" w:sz="4" w:space="0" w:color="auto"/>
              <w:left w:val="single" w:sz="4" w:space="0" w:color="auto"/>
              <w:bottom w:val="single" w:sz="4" w:space="0" w:color="auto"/>
              <w:right w:val="single" w:sz="4" w:space="0" w:color="auto"/>
            </w:tcBorders>
            <w:shd w:val="clear" w:color="auto" w:fill="EDEDED"/>
            <w:vAlign w:val="center"/>
          </w:tcPr>
          <w:p w14:paraId="78DBD941" w14:textId="77777777" w:rsidR="00C60087" w:rsidRPr="009C01C4" w:rsidRDefault="00C60087" w:rsidP="00CF7C92">
            <w:pPr>
              <w:ind w:left="75" w:right="-165"/>
              <w:jc w:val="center"/>
              <w:rPr>
                <w:rFonts w:ascii="Cambria" w:hAnsi="Cambria"/>
                <w:b/>
                <w:bCs/>
              </w:rPr>
            </w:pPr>
            <w:r w:rsidRPr="009C01C4">
              <w:rPr>
                <w:rFonts w:ascii="Cambria" w:hAnsi="Cambria"/>
                <w:b/>
                <w:bCs/>
              </w:rPr>
              <w:t>Conformance with Federal Financial Management System Requirements (FMFIA § 4)</w:t>
            </w:r>
          </w:p>
        </w:tc>
      </w:tr>
      <w:tr w:rsidR="00C60087" w:rsidRPr="000C50CC" w14:paraId="6BF26D4B" w14:textId="77777777" w:rsidTr="00CF7C92">
        <w:trPr>
          <w:trHeight w:val="140"/>
        </w:trPr>
        <w:tc>
          <w:tcPr>
            <w:tcW w:w="1382" w:type="pct"/>
            <w:tcBorders>
              <w:bottom w:val="single" w:sz="4" w:space="0" w:color="auto"/>
            </w:tcBorders>
            <w:vAlign w:val="center"/>
          </w:tcPr>
          <w:p w14:paraId="6A32F192" w14:textId="77777777" w:rsidR="00C60087" w:rsidRPr="000C50CC" w:rsidRDefault="00C60087" w:rsidP="00CF7C92">
            <w:pPr>
              <w:ind w:left="135" w:right="-165"/>
              <w:rPr>
                <w:rFonts w:ascii="Cambria" w:hAnsi="Cambria"/>
              </w:rPr>
            </w:pPr>
            <w:r w:rsidRPr="000C50CC">
              <w:rPr>
                <w:rFonts w:ascii="Cambria" w:hAnsi="Cambria"/>
              </w:rPr>
              <w:t>Statement of Assurance</w:t>
            </w:r>
          </w:p>
        </w:tc>
        <w:tc>
          <w:tcPr>
            <w:tcW w:w="3618" w:type="pct"/>
            <w:gridSpan w:val="5"/>
            <w:tcBorders>
              <w:bottom w:val="single" w:sz="4" w:space="0" w:color="auto"/>
            </w:tcBorders>
            <w:vAlign w:val="center"/>
          </w:tcPr>
          <w:p w14:paraId="3F6A4C00" w14:textId="77777777" w:rsidR="00C60087" w:rsidRPr="000C50CC" w:rsidRDefault="00C60087" w:rsidP="00CF7C92">
            <w:pPr>
              <w:ind w:left="75" w:right="-165"/>
              <w:rPr>
                <w:rFonts w:ascii="Cambria" w:hAnsi="Cambria"/>
              </w:rPr>
            </w:pPr>
            <w:r w:rsidRPr="000C50CC">
              <w:rPr>
                <w:rFonts w:ascii="Cambria" w:hAnsi="Cambria"/>
              </w:rPr>
              <w:t>Unmodified</w:t>
            </w:r>
          </w:p>
        </w:tc>
      </w:tr>
      <w:tr w:rsidR="00C60087" w:rsidRPr="000C50CC" w14:paraId="321B3847" w14:textId="77777777" w:rsidTr="00CF7C92">
        <w:trPr>
          <w:trHeight w:val="286"/>
        </w:trPr>
        <w:tc>
          <w:tcPr>
            <w:tcW w:w="1382" w:type="pct"/>
            <w:tcBorders>
              <w:bottom w:val="single" w:sz="4" w:space="0" w:color="auto"/>
            </w:tcBorders>
            <w:vAlign w:val="center"/>
          </w:tcPr>
          <w:p w14:paraId="4E57D985" w14:textId="77777777" w:rsidR="00C60087" w:rsidRPr="000C50CC" w:rsidRDefault="00C60087" w:rsidP="00CF7C92">
            <w:pPr>
              <w:ind w:left="135"/>
              <w:rPr>
                <w:rFonts w:ascii="Cambria" w:hAnsi="Cambria"/>
              </w:rPr>
            </w:pPr>
            <w:r w:rsidRPr="000C50CC">
              <w:rPr>
                <w:rFonts w:ascii="Cambria" w:hAnsi="Cambria"/>
              </w:rPr>
              <w:t>Material Weaknesses</w:t>
            </w:r>
          </w:p>
        </w:tc>
        <w:tc>
          <w:tcPr>
            <w:tcW w:w="743" w:type="pct"/>
            <w:tcBorders>
              <w:bottom w:val="single" w:sz="4" w:space="0" w:color="auto"/>
            </w:tcBorders>
            <w:vAlign w:val="center"/>
          </w:tcPr>
          <w:p w14:paraId="1B40A626" w14:textId="77777777" w:rsidR="00C60087" w:rsidRPr="000C50CC" w:rsidRDefault="00C60087" w:rsidP="00CF7C92">
            <w:pPr>
              <w:spacing w:after="0"/>
              <w:jc w:val="center"/>
              <w:rPr>
                <w:rFonts w:ascii="Cambria" w:hAnsi="Cambria"/>
              </w:rPr>
            </w:pPr>
            <w:r w:rsidRPr="000C50CC">
              <w:rPr>
                <w:rFonts w:ascii="Cambria" w:hAnsi="Cambria"/>
              </w:rPr>
              <w:t>Beginning</w:t>
            </w:r>
          </w:p>
          <w:p w14:paraId="1A32C9B0" w14:textId="77777777" w:rsidR="00C60087" w:rsidRPr="000C50CC" w:rsidRDefault="00C60087" w:rsidP="00CF7C92">
            <w:pPr>
              <w:spacing w:after="0"/>
              <w:jc w:val="center"/>
              <w:rPr>
                <w:rFonts w:ascii="Cambria" w:hAnsi="Cambria"/>
              </w:rPr>
            </w:pPr>
            <w:r w:rsidRPr="000C50CC">
              <w:rPr>
                <w:rFonts w:ascii="Cambria" w:hAnsi="Cambria"/>
              </w:rPr>
              <w:t>Balance</w:t>
            </w:r>
          </w:p>
        </w:tc>
        <w:tc>
          <w:tcPr>
            <w:tcW w:w="744" w:type="pct"/>
            <w:tcBorders>
              <w:bottom w:val="single" w:sz="4" w:space="0" w:color="auto"/>
            </w:tcBorders>
            <w:vAlign w:val="center"/>
          </w:tcPr>
          <w:p w14:paraId="29701C29" w14:textId="77777777" w:rsidR="00C60087" w:rsidRPr="000C50CC" w:rsidRDefault="00C60087" w:rsidP="00CF7C92">
            <w:pPr>
              <w:jc w:val="center"/>
              <w:rPr>
                <w:rFonts w:ascii="Cambria" w:hAnsi="Cambria"/>
              </w:rPr>
            </w:pPr>
            <w:r w:rsidRPr="000C50CC">
              <w:rPr>
                <w:rFonts w:ascii="Cambria" w:hAnsi="Cambria"/>
              </w:rPr>
              <w:t>New</w:t>
            </w:r>
          </w:p>
        </w:tc>
        <w:tc>
          <w:tcPr>
            <w:tcW w:w="742" w:type="pct"/>
            <w:tcBorders>
              <w:bottom w:val="single" w:sz="4" w:space="0" w:color="auto"/>
            </w:tcBorders>
            <w:vAlign w:val="center"/>
          </w:tcPr>
          <w:p w14:paraId="4CF525B7" w14:textId="77777777" w:rsidR="00C60087" w:rsidRPr="000C50CC" w:rsidRDefault="00C60087" w:rsidP="00CF7C92">
            <w:pPr>
              <w:jc w:val="center"/>
              <w:rPr>
                <w:rFonts w:ascii="Cambria" w:hAnsi="Cambria"/>
              </w:rPr>
            </w:pPr>
            <w:r w:rsidRPr="000C50CC">
              <w:rPr>
                <w:rFonts w:ascii="Cambria" w:hAnsi="Cambria"/>
              </w:rPr>
              <w:t>Resolved</w:t>
            </w:r>
          </w:p>
        </w:tc>
        <w:tc>
          <w:tcPr>
            <w:tcW w:w="744" w:type="pct"/>
            <w:tcBorders>
              <w:bottom w:val="single" w:sz="4" w:space="0" w:color="auto"/>
            </w:tcBorders>
            <w:vAlign w:val="center"/>
          </w:tcPr>
          <w:p w14:paraId="73B4A8A1" w14:textId="77777777" w:rsidR="00C60087" w:rsidRPr="000C50CC" w:rsidRDefault="00C60087" w:rsidP="00CF7C92">
            <w:pPr>
              <w:jc w:val="center"/>
              <w:rPr>
                <w:rFonts w:ascii="Cambria" w:hAnsi="Cambria"/>
              </w:rPr>
            </w:pPr>
            <w:r w:rsidRPr="000C50CC">
              <w:rPr>
                <w:rFonts w:ascii="Cambria" w:hAnsi="Cambria"/>
              </w:rPr>
              <w:t>Consolidated</w:t>
            </w:r>
          </w:p>
        </w:tc>
        <w:tc>
          <w:tcPr>
            <w:tcW w:w="645" w:type="pct"/>
            <w:tcBorders>
              <w:bottom w:val="single" w:sz="4" w:space="0" w:color="auto"/>
            </w:tcBorders>
            <w:vAlign w:val="center"/>
          </w:tcPr>
          <w:p w14:paraId="74B62FCE" w14:textId="77777777" w:rsidR="00C60087" w:rsidRPr="000C50CC" w:rsidRDefault="00C60087" w:rsidP="00CF7C92">
            <w:pPr>
              <w:spacing w:after="0"/>
              <w:jc w:val="center"/>
              <w:rPr>
                <w:rFonts w:ascii="Cambria" w:hAnsi="Cambria"/>
              </w:rPr>
            </w:pPr>
            <w:r w:rsidRPr="000C50CC">
              <w:rPr>
                <w:rFonts w:ascii="Cambria" w:hAnsi="Cambria"/>
              </w:rPr>
              <w:t>Ending</w:t>
            </w:r>
          </w:p>
          <w:p w14:paraId="0C54F3D7" w14:textId="77777777" w:rsidR="00C60087" w:rsidRPr="000C50CC" w:rsidRDefault="00C60087" w:rsidP="00CF7C92">
            <w:pPr>
              <w:spacing w:after="0"/>
              <w:jc w:val="center"/>
              <w:rPr>
                <w:rFonts w:ascii="Cambria" w:hAnsi="Cambria"/>
              </w:rPr>
            </w:pPr>
            <w:r w:rsidRPr="000C50CC">
              <w:rPr>
                <w:rFonts w:ascii="Cambria" w:hAnsi="Cambria"/>
              </w:rPr>
              <w:t>Balance</w:t>
            </w:r>
          </w:p>
        </w:tc>
      </w:tr>
      <w:tr w:rsidR="00C60087" w:rsidRPr="000C50CC" w14:paraId="4AEEA4DC" w14:textId="77777777" w:rsidTr="00CF7C92">
        <w:trPr>
          <w:trHeight w:val="141"/>
        </w:trPr>
        <w:tc>
          <w:tcPr>
            <w:tcW w:w="1382" w:type="pct"/>
            <w:tcBorders>
              <w:top w:val="single" w:sz="4" w:space="0" w:color="auto"/>
              <w:bottom w:val="single" w:sz="4" w:space="0" w:color="auto"/>
            </w:tcBorders>
            <w:vAlign w:val="center"/>
          </w:tcPr>
          <w:p w14:paraId="594AC5F9" w14:textId="77777777" w:rsidR="00C60087" w:rsidRPr="000C50CC" w:rsidRDefault="00C60087" w:rsidP="00CF7C92">
            <w:pPr>
              <w:ind w:left="135"/>
              <w:rPr>
                <w:rFonts w:ascii="Cambria" w:hAnsi="Cambria"/>
                <w:iCs/>
              </w:rPr>
            </w:pPr>
            <w:r w:rsidRPr="000C50CC">
              <w:rPr>
                <w:rFonts w:ascii="Cambria" w:hAnsi="Cambria"/>
                <w:iCs/>
              </w:rPr>
              <w:t>Total Material Weaknesses</w:t>
            </w:r>
          </w:p>
        </w:tc>
        <w:tc>
          <w:tcPr>
            <w:tcW w:w="743" w:type="pct"/>
            <w:tcBorders>
              <w:top w:val="single" w:sz="4" w:space="0" w:color="auto"/>
              <w:bottom w:val="single" w:sz="4" w:space="0" w:color="auto"/>
            </w:tcBorders>
            <w:vAlign w:val="center"/>
          </w:tcPr>
          <w:p w14:paraId="2499B48E"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37B06FEC" w14:textId="77777777" w:rsidR="00C60087" w:rsidRPr="000C50CC" w:rsidRDefault="00C60087" w:rsidP="00CF7C92">
            <w:pPr>
              <w:jc w:val="center"/>
              <w:rPr>
                <w:rFonts w:ascii="Cambria" w:hAnsi="Cambria"/>
              </w:rPr>
            </w:pPr>
            <w:r w:rsidRPr="000C50CC">
              <w:rPr>
                <w:rFonts w:ascii="Cambria" w:hAnsi="Cambria"/>
              </w:rPr>
              <w:t>0</w:t>
            </w:r>
          </w:p>
        </w:tc>
        <w:tc>
          <w:tcPr>
            <w:tcW w:w="742" w:type="pct"/>
            <w:tcBorders>
              <w:top w:val="single" w:sz="4" w:space="0" w:color="auto"/>
              <w:bottom w:val="single" w:sz="4" w:space="0" w:color="auto"/>
            </w:tcBorders>
            <w:vAlign w:val="center"/>
          </w:tcPr>
          <w:p w14:paraId="06C27D64" w14:textId="77777777" w:rsidR="00C60087" w:rsidRPr="000C50CC" w:rsidRDefault="00C60087" w:rsidP="00CF7C92">
            <w:pPr>
              <w:jc w:val="center"/>
              <w:rPr>
                <w:rFonts w:ascii="Cambria" w:hAnsi="Cambria"/>
              </w:rPr>
            </w:pPr>
            <w:r w:rsidRPr="000C50CC">
              <w:rPr>
                <w:rFonts w:ascii="Cambria" w:hAnsi="Cambria"/>
              </w:rPr>
              <w:t>0</w:t>
            </w:r>
          </w:p>
        </w:tc>
        <w:tc>
          <w:tcPr>
            <w:tcW w:w="744" w:type="pct"/>
            <w:tcBorders>
              <w:top w:val="single" w:sz="4" w:space="0" w:color="auto"/>
              <w:bottom w:val="single" w:sz="4" w:space="0" w:color="auto"/>
            </w:tcBorders>
            <w:vAlign w:val="center"/>
          </w:tcPr>
          <w:p w14:paraId="6E5111D5" w14:textId="77777777" w:rsidR="00C60087" w:rsidRPr="000C50CC" w:rsidRDefault="00C60087" w:rsidP="00CF7C92">
            <w:pPr>
              <w:jc w:val="center"/>
              <w:rPr>
                <w:rFonts w:ascii="Cambria" w:hAnsi="Cambria"/>
              </w:rPr>
            </w:pPr>
            <w:r w:rsidRPr="000C50CC">
              <w:rPr>
                <w:rFonts w:ascii="Cambria" w:hAnsi="Cambria"/>
              </w:rPr>
              <w:t>0</w:t>
            </w:r>
          </w:p>
        </w:tc>
        <w:tc>
          <w:tcPr>
            <w:tcW w:w="645" w:type="pct"/>
            <w:tcBorders>
              <w:top w:val="single" w:sz="4" w:space="0" w:color="auto"/>
              <w:bottom w:val="single" w:sz="4" w:space="0" w:color="auto"/>
            </w:tcBorders>
            <w:vAlign w:val="center"/>
          </w:tcPr>
          <w:p w14:paraId="37261489" w14:textId="77777777" w:rsidR="00C60087" w:rsidRPr="000C50CC" w:rsidRDefault="00C60087" w:rsidP="00CF7C92">
            <w:pPr>
              <w:jc w:val="center"/>
              <w:rPr>
                <w:rFonts w:ascii="Cambria" w:hAnsi="Cambria"/>
              </w:rPr>
            </w:pPr>
            <w:r w:rsidRPr="000C50CC">
              <w:rPr>
                <w:rFonts w:ascii="Cambria" w:hAnsi="Cambria"/>
              </w:rPr>
              <w:t>0</w:t>
            </w:r>
          </w:p>
        </w:tc>
      </w:tr>
    </w:tbl>
    <w:p w14:paraId="2C5890C7" w14:textId="77777777" w:rsidR="00C60087" w:rsidRDefault="00C60087" w:rsidP="00C60087">
      <w:pPr>
        <w:pStyle w:val="Cambriabold"/>
        <w:rPr>
          <w:sz w:val="28"/>
          <w:szCs w:val="28"/>
        </w:rPr>
      </w:pPr>
    </w:p>
    <w:p w14:paraId="116EC266" w14:textId="77777777" w:rsidR="00DE68B6" w:rsidRDefault="00DE68B6">
      <w:r>
        <w:br w:type="page"/>
      </w:r>
    </w:p>
    <w:p w14:paraId="281C9D74" w14:textId="1A57871D" w:rsidR="00C60087" w:rsidRPr="00BD19DA" w:rsidRDefault="00C60087" w:rsidP="00BD19DA">
      <w:pPr>
        <w:rPr>
          <w:rFonts w:ascii="Cambria" w:hAnsi="Cambria"/>
          <w:b/>
          <w:bCs/>
          <w:sz w:val="28"/>
          <w:szCs w:val="28"/>
        </w:rPr>
      </w:pPr>
      <w:r w:rsidRPr="00BD19DA">
        <w:rPr>
          <w:rFonts w:ascii="Cambria" w:hAnsi="Cambria"/>
          <w:b/>
          <w:bCs/>
          <w:sz w:val="28"/>
          <w:szCs w:val="28"/>
        </w:rPr>
        <w:lastRenderedPageBreak/>
        <w:t xml:space="preserve">Summary of </w:t>
      </w:r>
      <w:r w:rsidR="00F956E3">
        <w:rPr>
          <w:rFonts w:ascii="Cambria" w:hAnsi="Cambria"/>
          <w:b/>
          <w:bCs/>
          <w:sz w:val="28"/>
          <w:szCs w:val="28"/>
        </w:rPr>
        <w:t xml:space="preserve">FY </w:t>
      </w:r>
      <w:r w:rsidR="0049075B">
        <w:rPr>
          <w:rFonts w:ascii="Cambria" w:hAnsi="Cambria"/>
          <w:b/>
          <w:bCs/>
          <w:sz w:val="28"/>
          <w:szCs w:val="28"/>
        </w:rPr>
        <w:t>2025</w:t>
      </w:r>
      <w:r w:rsidR="00F956E3">
        <w:rPr>
          <w:rFonts w:ascii="Cambria" w:hAnsi="Cambria"/>
          <w:b/>
          <w:bCs/>
          <w:sz w:val="28"/>
          <w:szCs w:val="28"/>
        </w:rPr>
        <w:t xml:space="preserve"> </w:t>
      </w:r>
      <w:r w:rsidRPr="00BD19DA">
        <w:rPr>
          <w:rFonts w:ascii="Cambria" w:hAnsi="Cambria"/>
          <w:b/>
          <w:bCs/>
          <w:sz w:val="28"/>
          <w:szCs w:val="28"/>
        </w:rPr>
        <w:t>Financial Statement Audit and Management Assurances, Continued</w:t>
      </w:r>
    </w:p>
    <w:p w14:paraId="6CD1359E" w14:textId="6F0E9AAA" w:rsidR="00C60087" w:rsidRPr="000C50CC" w:rsidRDefault="00C60087" w:rsidP="00C60087">
      <w:pPr>
        <w:pStyle w:val="Cambriabold"/>
      </w:pPr>
      <w:r>
        <w:rPr>
          <w:b w:val="0"/>
          <w:bCs w:val="0"/>
          <w:noProof/>
          <w:u w:val="single"/>
        </w:rPr>
        <mc:AlternateContent>
          <mc:Choice Requires="wps">
            <w:drawing>
              <wp:anchor distT="0" distB="0" distL="114300" distR="114300" simplePos="0" relativeHeight="251700736" behindDoc="1" locked="0" layoutInCell="1" allowOverlap="1" wp14:anchorId="289FBC53" wp14:editId="4BBE96E2">
                <wp:simplePos x="0" y="0"/>
                <wp:positionH relativeFrom="column">
                  <wp:posOffset>-61595</wp:posOffset>
                </wp:positionH>
                <wp:positionV relativeFrom="paragraph">
                  <wp:posOffset>226696</wp:posOffset>
                </wp:positionV>
                <wp:extent cx="6252210" cy="2889250"/>
                <wp:effectExtent l="19050" t="19050" r="34290" b="44450"/>
                <wp:wrapNone/>
                <wp:docPr id="152643210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2210" cy="2889250"/>
                        </a:xfrm>
                        <a:prstGeom prst="rect">
                          <a:avLst/>
                        </a:prstGeom>
                        <a:solidFill>
                          <a:schemeClr val="bg1">
                            <a:lumMod val="100000"/>
                            <a:lumOff val="0"/>
                          </a:schemeClr>
                        </a:solidFill>
                        <a:ln w="63500" cmpd="thickThin">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FC152" id="Rectangle 25" o:spid="_x0000_s1026" style="position:absolute;margin-left:-4.85pt;margin-top:17.85pt;width:492.3pt;height:22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" fillcolor="white [3212]" strokecolor="#002060" strokeweight="5pt">
                <v:stroke linestyle="thickThin"/>
                <v:shadow color="#868686"/>
              </v:rect>
            </w:pict>
          </mc:Fallback>
        </mc:AlternateContent>
      </w:r>
    </w:p>
    <w:p w14:paraId="3102DD5E" w14:textId="77777777" w:rsidR="00C60087" w:rsidRPr="000C50CC" w:rsidRDefault="00C60087" w:rsidP="00C60087">
      <w:pPr>
        <w:pStyle w:val="CambriaNormal"/>
        <w:ind w:left="2160" w:hanging="2070"/>
      </w:pPr>
      <w:r w:rsidRPr="000C50CC">
        <w:rPr>
          <w:b/>
          <w:bCs/>
          <w:u w:val="single"/>
        </w:rPr>
        <w:t>Definition of Terms</w:t>
      </w:r>
    </w:p>
    <w:p w14:paraId="55F33970" w14:textId="77777777" w:rsidR="00C60087" w:rsidRPr="000C50CC" w:rsidRDefault="00C60087" w:rsidP="00C60087">
      <w:pPr>
        <w:pStyle w:val="CambriaNormal"/>
        <w:spacing w:after="80" w:line="240" w:lineRule="auto"/>
        <w:ind w:left="2610" w:hanging="2520"/>
      </w:pPr>
      <w:r w:rsidRPr="000C50CC">
        <w:rPr>
          <w:b/>
        </w:rPr>
        <w:t xml:space="preserve">Beginning Balance: </w:t>
      </w:r>
      <w:r w:rsidRPr="000C50CC">
        <w:rPr>
          <w:b/>
        </w:rPr>
        <w:tab/>
      </w:r>
      <w:r w:rsidRPr="000C50CC">
        <w:t>The beginning balance must agree with the ending balance from the prior year.</w:t>
      </w:r>
    </w:p>
    <w:p w14:paraId="6EEF52CE" w14:textId="77777777" w:rsidR="00C60087" w:rsidRPr="000C50CC" w:rsidRDefault="00C60087" w:rsidP="00C60087">
      <w:pPr>
        <w:pStyle w:val="CambriaNormal"/>
        <w:spacing w:after="80" w:line="240" w:lineRule="auto"/>
        <w:ind w:left="2610" w:hanging="2520"/>
      </w:pPr>
      <w:r w:rsidRPr="000C50CC">
        <w:rPr>
          <w:b/>
        </w:rPr>
        <w:t>New:</w:t>
      </w:r>
      <w:r w:rsidRPr="000C50CC">
        <w:rPr>
          <w:b/>
        </w:rPr>
        <w:tab/>
      </w:r>
      <w:r w:rsidRPr="000C50CC">
        <w:t>The total number of material weaknesses/non-conformances identified during the current year.</w:t>
      </w:r>
    </w:p>
    <w:p w14:paraId="6E488FDC" w14:textId="77777777" w:rsidR="00C60087" w:rsidRPr="000C50CC" w:rsidRDefault="00C60087" w:rsidP="00C60087">
      <w:pPr>
        <w:pStyle w:val="CambriaNormal"/>
        <w:spacing w:after="80" w:line="240" w:lineRule="auto"/>
        <w:ind w:left="2610" w:hanging="2520"/>
      </w:pPr>
      <w:r w:rsidRPr="000C50CC">
        <w:rPr>
          <w:b/>
        </w:rPr>
        <w:t xml:space="preserve">Resolved: </w:t>
      </w:r>
      <w:r w:rsidRPr="000C50CC">
        <w:rPr>
          <w:b/>
        </w:rPr>
        <w:tab/>
      </w:r>
      <w:r w:rsidRPr="000C50CC">
        <w:t>The total number of material weaknesses/non-</w:t>
      </w:r>
      <w:proofErr w:type="gramStart"/>
      <w:r w:rsidRPr="000C50CC">
        <w:t>conformances that</w:t>
      </w:r>
      <w:proofErr w:type="gramEnd"/>
      <w:r w:rsidRPr="000C50CC">
        <w:t xml:space="preserve"> dropped below the level of materiality in the current year.</w:t>
      </w:r>
    </w:p>
    <w:p w14:paraId="70C3E1D5" w14:textId="77777777" w:rsidR="00C60087" w:rsidRPr="000C50CC" w:rsidRDefault="00C60087" w:rsidP="00C60087">
      <w:pPr>
        <w:pStyle w:val="CambriaNormal"/>
        <w:spacing w:after="80" w:line="240" w:lineRule="auto"/>
        <w:ind w:left="2610" w:hanging="2520"/>
      </w:pPr>
      <w:r w:rsidRPr="000C50CC">
        <w:rPr>
          <w:b/>
        </w:rPr>
        <w:t xml:space="preserve">Consolidated: </w:t>
      </w:r>
      <w:r w:rsidRPr="000C50CC">
        <w:rPr>
          <w:b/>
        </w:rPr>
        <w:tab/>
      </w:r>
      <w:r w:rsidRPr="000C50CC">
        <w:t>The combination of two or more findings.</w:t>
      </w:r>
    </w:p>
    <w:p w14:paraId="27065E81" w14:textId="77777777" w:rsidR="00C60087" w:rsidRPr="000C50CC" w:rsidRDefault="00C60087" w:rsidP="00C60087">
      <w:pPr>
        <w:pStyle w:val="CambriaNormal"/>
        <w:tabs>
          <w:tab w:val="left" w:pos="2880"/>
        </w:tabs>
        <w:spacing w:after="80" w:line="240" w:lineRule="auto"/>
        <w:ind w:left="2610" w:hanging="2520"/>
      </w:pPr>
      <w:r w:rsidRPr="000C50CC">
        <w:rPr>
          <w:b/>
        </w:rPr>
        <w:t>Ending Balance:</w:t>
      </w:r>
      <w:r w:rsidRPr="000C50CC">
        <w:rPr>
          <w:b/>
        </w:rPr>
        <w:tab/>
      </w:r>
      <w:r w:rsidRPr="000C50CC">
        <w:t>The year-end balance that will be the beginning balance next year.</w:t>
      </w:r>
    </w:p>
    <w:p w14:paraId="3A6443D8" w14:textId="77777777" w:rsidR="00C60087" w:rsidRPr="000C50CC" w:rsidRDefault="00C60087" w:rsidP="00C60087">
      <w:pPr>
        <w:pStyle w:val="CambriaNormal"/>
      </w:pPr>
    </w:p>
    <w:p w14:paraId="338B8C29" w14:textId="77777777" w:rsidR="00C60087" w:rsidRDefault="00C60087" w:rsidP="00C60087"/>
    <w:p w14:paraId="0B8CE0CE" w14:textId="77777777" w:rsidR="00C60087" w:rsidRDefault="00C60087" w:rsidP="00C60087"/>
    <w:p w14:paraId="3699057F" w14:textId="77777777" w:rsidR="00C60087" w:rsidRDefault="00C60087" w:rsidP="00C60087"/>
    <w:p w14:paraId="277497A1" w14:textId="77777777" w:rsidR="00C60087" w:rsidRDefault="00C60087" w:rsidP="00C60087"/>
    <w:p w14:paraId="3EE9C1B2" w14:textId="77777777" w:rsidR="00C60087" w:rsidRDefault="00C60087" w:rsidP="00C60087"/>
    <w:p w14:paraId="28B8AB13" w14:textId="77777777" w:rsidR="00C60087" w:rsidRDefault="00C60087" w:rsidP="00C60087"/>
    <w:p w14:paraId="4F87B079" w14:textId="77777777" w:rsidR="00C60087" w:rsidRDefault="00C60087" w:rsidP="00C60087"/>
    <w:p w14:paraId="2389F11E" w14:textId="77777777" w:rsidR="00C60087" w:rsidRDefault="00C60087" w:rsidP="00C60087"/>
    <w:p w14:paraId="7DF3D998" w14:textId="77777777" w:rsidR="00C60087" w:rsidRDefault="00C60087" w:rsidP="00C60087"/>
    <w:p w14:paraId="0EEFAA49" w14:textId="77777777" w:rsidR="00C60087" w:rsidRDefault="00C60087" w:rsidP="00C60087"/>
    <w:p w14:paraId="1B6474FC" w14:textId="10F95C2A" w:rsidR="009859DB" w:rsidRDefault="009859DB">
      <w:bookmarkStart w:id="142" w:name="_Payment_Integrity_Information"/>
      <w:bookmarkEnd w:id="142"/>
      <w:r>
        <w:br w:type="page"/>
      </w:r>
    </w:p>
    <w:p w14:paraId="77E89F71" w14:textId="54D881D3" w:rsidR="00C60087" w:rsidRPr="00C60087" w:rsidRDefault="00C60087" w:rsidP="00A47B91">
      <w:pPr>
        <w:pStyle w:val="Heading2"/>
      </w:pPr>
      <w:bookmarkStart w:id="143" w:name="_Payment_Integrity_Information_1"/>
      <w:bookmarkStart w:id="144" w:name="_Toc85212092"/>
      <w:bookmarkStart w:id="145" w:name="_Toc86327265"/>
      <w:bookmarkStart w:id="146" w:name="_Toc213421249"/>
      <w:bookmarkEnd w:id="143"/>
      <w:r w:rsidRPr="00C60087">
        <w:lastRenderedPageBreak/>
        <w:t>Payment Integrity Information Act of 2019</w:t>
      </w:r>
      <w:bookmarkEnd w:id="144"/>
      <w:bookmarkEnd w:id="145"/>
      <w:bookmarkEnd w:id="146"/>
      <w:r w:rsidRPr="00C60087">
        <w:t xml:space="preserve"> </w:t>
      </w:r>
    </w:p>
    <w:p w14:paraId="32399F39" w14:textId="254B7960" w:rsidR="00C60087" w:rsidRDefault="00C60087" w:rsidP="00C60087">
      <w:pPr>
        <w:pStyle w:val="CambriaNormal"/>
        <w:spacing w:line="276" w:lineRule="auto"/>
        <w:rPr>
          <w:rFonts w:cs="Calibri"/>
        </w:rPr>
      </w:pPr>
      <w:r w:rsidRPr="00352A92">
        <w:rPr>
          <w:rFonts w:cs="Calibri"/>
        </w:rPr>
        <w:t>The Payment Integrity Information Act of 2019</w:t>
      </w:r>
      <w:r w:rsidR="0032457C">
        <w:rPr>
          <w:rFonts w:cs="Calibri"/>
        </w:rPr>
        <w:t xml:space="preserve"> </w:t>
      </w:r>
      <w:r w:rsidRPr="00352A92">
        <w:rPr>
          <w:rFonts w:cs="Calibri"/>
        </w:rPr>
        <w:t>updated government-wide improper payment reporting requirements by repealing and replacing the Improper Payments</w:t>
      </w:r>
      <w:r>
        <w:rPr>
          <w:rFonts w:cs="Calibri"/>
        </w:rPr>
        <w:t xml:space="preserve"> </w:t>
      </w:r>
      <w:r w:rsidRPr="00352A92">
        <w:rPr>
          <w:rFonts w:cs="Calibri"/>
        </w:rPr>
        <w:t xml:space="preserve">Information Act of 2002, the Improper Payments Elimination and Recovery Act of 2010, the Improper Payments Elimination and Recovery Act of 2012, and the Fraud Reduction and Data Analytics Act of 2015. The PIIA-related OMB guidance provided in Circular A-136, </w:t>
      </w:r>
      <w:r w:rsidRPr="00352A92">
        <w:rPr>
          <w:rFonts w:cs="Calibri"/>
          <w:i/>
          <w:iCs/>
        </w:rPr>
        <w:t>Financial Reporting Requirements</w:t>
      </w:r>
      <w:r w:rsidRPr="00352A92">
        <w:rPr>
          <w:rFonts w:cs="Calibri"/>
        </w:rPr>
        <w:t xml:space="preserve">, and </w:t>
      </w:r>
      <w:r w:rsidRPr="00BD19DA">
        <w:rPr>
          <w:rFonts w:cs="Calibri"/>
          <w:i/>
          <w:iCs/>
        </w:rPr>
        <w:t>Appendix C, Requirements for Payment Integrity Improvement,</w:t>
      </w:r>
      <w:r w:rsidRPr="00352A92">
        <w:rPr>
          <w:rFonts w:cs="Calibri"/>
        </w:rPr>
        <w:t xml:space="preserve"> of Circular A-123, </w:t>
      </w:r>
      <w:r w:rsidRPr="00352A92">
        <w:rPr>
          <w:rFonts w:cs="Calibri"/>
          <w:i/>
          <w:iCs/>
        </w:rPr>
        <w:t>Management’s Responsibility for Enterprise Risk Management and Internal Control</w:t>
      </w:r>
      <w:r w:rsidRPr="00352A92">
        <w:rPr>
          <w:rFonts w:cs="Calibri"/>
        </w:rPr>
        <w:t xml:space="preserve">, requires </w:t>
      </w:r>
      <w:r w:rsidR="00982799">
        <w:rPr>
          <w:rFonts w:cs="Calibri"/>
        </w:rPr>
        <w:t xml:space="preserve">federal </w:t>
      </w:r>
      <w:r w:rsidRPr="00352A92">
        <w:rPr>
          <w:rFonts w:cs="Calibri"/>
        </w:rPr>
        <w:t>agencies</w:t>
      </w:r>
      <w:r w:rsidR="00982799">
        <w:rPr>
          <w:rFonts w:cs="Calibri"/>
        </w:rPr>
        <w:t>, including PCLOB, to</w:t>
      </w:r>
      <w:r w:rsidRPr="00352A92">
        <w:rPr>
          <w:rFonts w:cs="Calibri"/>
        </w:rPr>
        <w:t xml:space="preserve"> report detailed information related to </w:t>
      </w:r>
      <w:r w:rsidR="00982799">
        <w:rPr>
          <w:rFonts w:cs="Calibri"/>
        </w:rPr>
        <w:t>their</w:t>
      </w:r>
      <w:r w:rsidR="00982799" w:rsidRPr="00352A92">
        <w:rPr>
          <w:rFonts w:cs="Calibri"/>
        </w:rPr>
        <w:t xml:space="preserve"> </w:t>
      </w:r>
      <w:r w:rsidRPr="00352A92">
        <w:rPr>
          <w:rFonts w:cs="Calibri"/>
        </w:rPr>
        <w:t>efforts to eliminate improper payments, which is summarized below.</w:t>
      </w:r>
    </w:p>
    <w:p w14:paraId="679E1A35" w14:textId="77777777" w:rsidR="00C60087" w:rsidRPr="00352A92" w:rsidRDefault="00C60087" w:rsidP="00C60087">
      <w:pPr>
        <w:pStyle w:val="CambriaNormal"/>
        <w:spacing w:line="276" w:lineRule="auto"/>
        <w:rPr>
          <w:rFonts w:cs="Calibri"/>
          <w:b/>
          <w:bCs/>
        </w:rPr>
      </w:pPr>
      <w:r w:rsidRPr="00352A92">
        <w:rPr>
          <w:rFonts w:cs="Calibri"/>
          <w:b/>
          <w:bCs/>
        </w:rPr>
        <w:t>Payment Integrity Reporting</w:t>
      </w:r>
    </w:p>
    <w:p w14:paraId="37604E8D" w14:textId="7EB83C44" w:rsidR="00C60087" w:rsidRDefault="00C60087" w:rsidP="00C60087">
      <w:pPr>
        <w:pStyle w:val="CambriaNormal"/>
        <w:spacing w:line="276" w:lineRule="auto"/>
        <w:rPr>
          <w:rFonts w:cs="Calibri"/>
        </w:rPr>
      </w:pPr>
      <w:r>
        <w:rPr>
          <w:rFonts w:cs="Calibri"/>
        </w:rPr>
        <w:t xml:space="preserve">In FY </w:t>
      </w:r>
      <w:r w:rsidR="0049075B">
        <w:rPr>
          <w:rFonts w:cs="Calibri"/>
        </w:rPr>
        <w:t>2025</w:t>
      </w:r>
      <w:r w:rsidRPr="007109A1">
        <w:rPr>
          <w:rFonts w:cs="Calibri"/>
        </w:rPr>
        <w:t xml:space="preserve">, </w:t>
      </w:r>
      <w:r>
        <w:rPr>
          <w:rFonts w:cs="Calibri"/>
        </w:rPr>
        <w:t>PCLOB</w:t>
      </w:r>
      <w:r w:rsidRPr="007109A1">
        <w:rPr>
          <w:rFonts w:cs="Calibri"/>
        </w:rPr>
        <w:t xml:space="preserve"> </w:t>
      </w:r>
      <w:r>
        <w:rPr>
          <w:rFonts w:cs="Calibri"/>
        </w:rPr>
        <w:t xml:space="preserve">submitted payment integrity information </w:t>
      </w:r>
      <w:r w:rsidRPr="007109A1">
        <w:rPr>
          <w:rFonts w:cs="Calibri"/>
        </w:rPr>
        <w:t xml:space="preserve">to OMB </w:t>
      </w:r>
      <w:r>
        <w:rPr>
          <w:rFonts w:cs="Calibri"/>
        </w:rPr>
        <w:t xml:space="preserve">through their annual data call </w:t>
      </w:r>
      <w:r w:rsidRPr="00CE3DFF">
        <w:rPr>
          <w:rFonts w:cs="Calibri"/>
        </w:rPr>
        <w:t xml:space="preserve">to fulfill reporting requirements under </w:t>
      </w:r>
      <w:r>
        <w:rPr>
          <w:rFonts w:cs="Calibri"/>
        </w:rPr>
        <w:t>PIIA</w:t>
      </w:r>
      <w:r w:rsidRPr="00CE3DFF">
        <w:rPr>
          <w:rFonts w:cs="Calibri"/>
        </w:rPr>
        <w:t xml:space="preserve"> and provides the public with comprehensive improper payment data and information</w:t>
      </w:r>
      <w:r>
        <w:rPr>
          <w:rFonts w:cs="Calibri"/>
        </w:rPr>
        <w:t xml:space="preserve">, made available at </w:t>
      </w:r>
      <w:hyperlink r:id="rId125" w:history="1">
        <w:r w:rsidRPr="00F75A0A">
          <w:rPr>
            <w:rStyle w:val="Hyperlink"/>
            <w:rFonts w:cs="Calibri"/>
          </w:rPr>
          <w:t>Paymentaccuracy.gov.</w:t>
        </w:r>
      </w:hyperlink>
      <w:r w:rsidRPr="007109A1">
        <w:rPr>
          <w:rFonts w:cs="Calibri"/>
        </w:rPr>
        <w:t xml:space="preserve"> This website contains current and historical</w:t>
      </w:r>
      <w:r>
        <w:rPr>
          <w:rFonts w:cs="Calibri"/>
        </w:rPr>
        <w:t xml:space="preserve"> </w:t>
      </w:r>
      <w:r w:rsidRPr="007109A1">
        <w:rPr>
          <w:rFonts w:cs="Calibri"/>
        </w:rPr>
        <w:t xml:space="preserve">information about improper payments made under </w:t>
      </w:r>
      <w:r>
        <w:rPr>
          <w:rFonts w:cs="Calibri"/>
        </w:rPr>
        <w:t>f</w:t>
      </w:r>
      <w:r w:rsidRPr="007109A1">
        <w:rPr>
          <w:rFonts w:cs="Calibri"/>
        </w:rPr>
        <w:t>ederal</w:t>
      </w:r>
      <w:r>
        <w:rPr>
          <w:rFonts w:cs="Calibri"/>
        </w:rPr>
        <w:t xml:space="preserve"> </w:t>
      </w:r>
      <w:r w:rsidRPr="007109A1">
        <w:rPr>
          <w:rFonts w:cs="Calibri"/>
        </w:rPr>
        <w:t>programs, as well as extensive information about how</w:t>
      </w:r>
      <w:r>
        <w:rPr>
          <w:rFonts w:cs="Calibri"/>
        </w:rPr>
        <w:t xml:space="preserve"> </w:t>
      </w:r>
      <w:r w:rsidRPr="007109A1">
        <w:rPr>
          <w:rFonts w:cs="Calibri"/>
        </w:rPr>
        <w:t xml:space="preserve">improper payments are defined and tracked. </w:t>
      </w:r>
      <w:r>
        <w:rPr>
          <w:rFonts w:cs="Calibri"/>
        </w:rPr>
        <w:t>Highlights of PCLOB’s reported information are as follows:</w:t>
      </w:r>
    </w:p>
    <w:p w14:paraId="04B25543" w14:textId="21FA3BB8" w:rsidR="00C60087" w:rsidRDefault="004C0B0D" w:rsidP="00C60087">
      <w:pPr>
        <w:pStyle w:val="CambriaNormal"/>
        <w:numPr>
          <w:ilvl w:val="0"/>
          <w:numId w:val="23"/>
        </w:numPr>
        <w:spacing w:line="276" w:lineRule="auto"/>
        <w:rPr>
          <w:rFonts w:cs="Calibri"/>
        </w:rPr>
      </w:pPr>
      <w:r>
        <w:rPr>
          <w:rFonts w:cs="Calibri"/>
          <w:i/>
          <w:iCs/>
        </w:rPr>
        <w:t>Significant e</w:t>
      </w:r>
      <w:r w:rsidR="00FC5442">
        <w:rPr>
          <w:rFonts w:cs="Calibri"/>
          <w:i/>
          <w:iCs/>
        </w:rPr>
        <w:t xml:space="preserve">rroneous payments. </w:t>
      </w:r>
      <w:r w:rsidR="00C60087" w:rsidRPr="00352A92">
        <w:rPr>
          <w:rFonts w:cs="Calibri"/>
        </w:rPr>
        <w:t xml:space="preserve">Significant erroneous payments are defined as annual erroneous payments in the program exceeding </w:t>
      </w:r>
      <w:r w:rsidR="00C60087">
        <w:rPr>
          <w:rFonts w:cs="Calibri"/>
        </w:rPr>
        <w:t xml:space="preserve">the statutory threshold (defined as </w:t>
      </w:r>
      <w:r w:rsidR="00C60087" w:rsidRPr="00352A92">
        <w:rPr>
          <w:rFonts w:cs="Calibri"/>
        </w:rPr>
        <w:t>both $10 million and 1.5 percent, or $100 million of total annual program payments</w:t>
      </w:r>
      <w:r w:rsidR="00C60087">
        <w:rPr>
          <w:rFonts w:cs="Calibri"/>
        </w:rPr>
        <w:t>)</w:t>
      </w:r>
      <w:r w:rsidR="00C60087" w:rsidRPr="00352A92">
        <w:rPr>
          <w:rFonts w:cs="Calibri"/>
        </w:rPr>
        <w:t xml:space="preserve">. </w:t>
      </w:r>
      <w:r w:rsidR="00EF54B4" w:rsidRPr="00EF54B4">
        <w:rPr>
          <w:rFonts w:cs="Calibri"/>
        </w:rPr>
        <w:t>ARC prepares prompt pay, discounts lost, and improper payment metrics for PCLOB (</w:t>
      </w:r>
      <w:proofErr w:type="gramStart"/>
      <w:r w:rsidR="00EF54B4" w:rsidRPr="00EF54B4">
        <w:rPr>
          <w:rFonts w:cs="Calibri"/>
        </w:rPr>
        <w:t>on a monthly basis</w:t>
      </w:r>
      <w:proofErr w:type="gramEnd"/>
      <w:r w:rsidR="00EF54B4" w:rsidRPr="00EF54B4">
        <w:rPr>
          <w:rFonts w:cs="Calibri"/>
        </w:rPr>
        <w:t xml:space="preserve"> for PCLOB’s internal review and on a quarterly basis) and performs monthly audits to provide assurance that IPP system controls are operating as intended. </w:t>
      </w:r>
      <w:r w:rsidR="00C60087" w:rsidRPr="00352A92">
        <w:rPr>
          <w:rFonts w:cs="Calibri"/>
        </w:rPr>
        <w:t xml:space="preserve">Based on the results of transaction testing applied to a sample of FY </w:t>
      </w:r>
      <w:r w:rsidR="0049075B">
        <w:rPr>
          <w:rFonts w:cs="Calibri"/>
        </w:rPr>
        <w:t>2025</w:t>
      </w:r>
      <w:r w:rsidR="00C60087" w:rsidRPr="00352A92">
        <w:rPr>
          <w:rFonts w:cs="Calibri"/>
        </w:rPr>
        <w:t xml:space="preserve"> vendor payments, consideration of risk factors, and reliance on the internal controls in place over the payment and disbursement processes,</w:t>
      </w:r>
      <w:r w:rsidR="00EF54B4">
        <w:rPr>
          <w:rFonts w:cs="Calibri"/>
        </w:rPr>
        <w:t xml:space="preserve"> ARC determined that </w:t>
      </w:r>
      <w:r w:rsidR="00C60087" w:rsidRPr="00352A92">
        <w:rPr>
          <w:rFonts w:cs="Calibri"/>
        </w:rPr>
        <w:t xml:space="preserve">PCLOB is not susceptible to significant improper payments at or above the </w:t>
      </w:r>
      <w:r w:rsidR="00C60087">
        <w:rPr>
          <w:rFonts w:cs="Calibri"/>
        </w:rPr>
        <w:t xml:space="preserve">statutory </w:t>
      </w:r>
      <w:r w:rsidR="00C60087" w:rsidRPr="00352A92">
        <w:rPr>
          <w:rFonts w:cs="Calibri"/>
        </w:rPr>
        <w:t xml:space="preserve">threshold levels set by OMB. </w:t>
      </w:r>
      <w:r w:rsidR="00A23430">
        <w:rPr>
          <w:rFonts w:cs="Calibri"/>
        </w:rPr>
        <w:t xml:space="preserve"> </w:t>
      </w:r>
    </w:p>
    <w:p w14:paraId="3CD5A022" w14:textId="54086520" w:rsidR="00FC5442" w:rsidRPr="008A04BD" w:rsidRDefault="00FC5442" w:rsidP="008A04BD">
      <w:pPr>
        <w:pStyle w:val="CambriaNormal"/>
        <w:numPr>
          <w:ilvl w:val="0"/>
          <w:numId w:val="23"/>
        </w:numPr>
        <w:spacing w:line="276" w:lineRule="auto"/>
        <w:rPr>
          <w:rFonts w:cs="Calibri"/>
        </w:rPr>
      </w:pPr>
      <w:r w:rsidRPr="008A04BD">
        <w:rPr>
          <w:rFonts w:cs="Calibri"/>
          <w:i/>
          <w:iCs/>
        </w:rPr>
        <w:t>Improper payment risk assessment.</w:t>
      </w:r>
      <w:r w:rsidRPr="008A04BD">
        <w:rPr>
          <w:rFonts w:cs="Calibri"/>
        </w:rPr>
        <w:t xml:space="preserve"> </w:t>
      </w:r>
      <w:r w:rsidR="00C60087" w:rsidRPr="008A04BD">
        <w:rPr>
          <w:rFonts w:cs="Calibri"/>
        </w:rPr>
        <w:t>In accordance with Appendix C of Circular A-123, programs with annual outlays over $10 million must conduct an improper payment risk assessment at least once every three years to determine whether the program is likely to have improper payments above the statutory threshold.</w:t>
      </w:r>
      <w:r w:rsidR="008A04BD" w:rsidRPr="008A04BD">
        <w:rPr>
          <w:rFonts w:cs="Calibri"/>
        </w:rPr>
        <w:t xml:space="preserve"> Although neither of PCLOB’s program outlays exceeded $10 million in FY </w:t>
      </w:r>
      <w:r w:rsidR="0049075B">
        <w:rPr>
          <w:rFonts w:cs="Calibri"/>
        </w:rPr>
        <w:t>2025</w:t>
      </w:r>
      <w:r w:rsidR="008A04BD" w:rsidRPr="008A04BD">
        <w:rPr>
          <w:rFonts w:cs="Calibri"/>
        </w:rPr>
        <w:t xml:space="preserve">, the agency </w:t>
      </w:r>
      <w:r w:rsidR="008942FF" w:rsidRPr="008A04BD">
        <w:rPr>
          <w:rFonts w:cs="Calibri"/>
        </w:rPr>
        <w:t xml:space="preserve">leverages the </w:t>
      </w:r>
      <w:r w:rsidR="008942FF" w:rsidRPr="008A04BD">
        <w:rPr>
          <w:rFonts w:cs="Calibri"/>
        </w:rPr>
        <w:lastRenderedPageBreak/>
        <w:t>capabilities of their financial service provider, ARC, conduct</w:t>
      </w:r>
      <w:r w:rsidR="00B604CF">
        <w:rPr>
          <w:rFonts w:cs="Calibri"/>
        </w:rPr>
        <w:t xml:space="preserve"> </w:t>
      </w:r>
      <w:r w:rsidR="000F4C06">
        <w:rPr>
          <w:rFonts w:cs="Calibri"/>
        </w:rPr>
        <w:t xml:space="preserve">an annual </w:t>
      </w:r>
      <w:r w:rsidR="008942FF" w:rsidRPr="008A04BD">
        <w:rPr>
          <w:rFonts w:cs="Calibri"/>
        </w:rPr>
        <w:t xml:space="preserve">improper payment risk assessment. </w:t>
      </w:r>
      <w:r w:rsidRPr="008A04BD">
        <w:rPr>
          <w:rFonts w:cs="Calibri"/>
        </w:rPr>
        <w:t>Key components of th</w:t>
      </w:r>
      <w:r w:rsidR="008942FF" w:rsidRPr="008A04BD">
        <w:rPr>
          <w:rFonts w:cs="Calibri"/>
        </w:rPr>
        <w:t xml:space="preserve">e </w:t>
      </w:r>
      <w:r w:rsidRPr="008A04BD">
        <w:rPr>
          <w:rFonts w:cs="Calibri"/>
        </w:rPr>
        <w:t xml:space="preserve">risk assessment </w:t>
      </w:r>
      <w:r w:rsidR="008942FF" w:rsidRPr="008A04BD">
        <w:rPr>
          <w:rFonts w:cs="Calibri"/>
        </w:rPr>
        <w:t xml:space="preserve">performed by ARC </w:t>
      </w:r>
      <w:r w:rsidRPr="008A04BD">
        <w:rPr>
          <w:rFonts w:cs="Calibri"/>
        </w:rPr>
        <w:t>include:</w:t>
      </w:r>
    </w:p>
    <w:p w14:paraId="0907BBC4" w14:textId="196AAF3E" w:rsidR="00FC5442" w:rsidRDefault="00FC5442" w:rsidP="00BD19DA">
      <w:pPr>
        <w:pStyle w:val="CambriaNormal"/>
        <w:numPr>
          <w:ilvl w:val="0"/>
          <w:numId w:val="49"/>
        </w:numPr>
        <w:spacing w:before="120" w:after="0" w:line="276" w:lineRule="auto"/>
        <w:ind w:left="1080"/>
        <w:rPr>
          <w:rFonts w:cs="Calibri"/>
        </w:rPr>
      </w:pPr>
      <w:r>
        <w:rPr>
          <w:rFonts w:cs="Calibri"/>
        </w:rPr>
        <w:t>D</w:t>
      </w:r>
      <w:r w:rsidRPr="00FC5442">
        <w:rPr>
          <w:rFonts w:cs="Calibri"/>
        </w:rPr>
        <w:t xml:space="preserve">ata </w:t>
      </w:r>
      <w:r>
        <w:rPr>
          <w:rFonts w:cs="Calibri"/>
        </w:rPr>
        <w:t>A</w:t>
      </w:r>
      <w:r w:rsidRPr="00FC5442">
        <w:rPr>
          <w:rFonts w:cs="Calibri"/>
        </w:rPr>
        <w:t>nalysis: ARC analyzes payment data to identify patterns and anomalies that could indicate improper payments.</w:t>
      </w:r>
    </w:p>
    <w:p w14:paraId="0CD06533" w14:textId="19784A86" w:rsidR="00FC5442" w:rsidRDefault="00FC5442" w:rsidP="00BD19DA">
      <w:pPr>
        <w:pStyle w:val="CambriaNormal"/>
        <w:numPr>
          <w:ilvl w:val="0"/>
          <w:numId w:val="49"/>
        </w:numPr>
        <w:spacing w:before="120" w:after="0" w:line="276" w:lineRule="auto"/>
        <w:ind w:left="1080"/>
        <w:rPr>
          <w:rFonts w:cs="Calibri"/>
        </w:rPr>
      </w:pPr>
      <w:r>
        <w:rPr>
          <w:rFonts w:cs="Calibri"/>
        </w:rPr>
        <w:t xml:space="preserve">Risk </w:t>
      </w:r>
      <w:r w:rsidRPr="00FC5442">
        <w:rPr>
          <w:rFonts w:cs="Calibri"/>
        </w:rPr>
        <w:t>Identification: The assessment identifies areas with the highest risk of improper payments, such as high-volume transactions or complex payment processes</w:t>
      </w:r>
      <w:r>
        <w:rPr>
          <w:rFonts w:cs="Calibri"/>
        </w:rPr>
        <w:t>.</w:t>
      </w:r>
      <w:r w:rsidR="00822149">
        <w:rPr>
          <w:rFonts w:cs="Calibri"/>
        </w:rPr>
        <w:t xml:space="preserve"> In FY </w:t>
      </w:r>
      <w:r w:rsidR="0049075B">
        <w:rPr>
          <w:rFonts w:cs="Calibri"/>
        </w:rPr>
        <w:t>2025</w:t>
      </w:r>
      <w:r w:rsidR="00822149">
        <w:rPr>
          <w:rFonts w:cs="Calibri"/>
        </w:rPr>
        <w:t>, no payment types were assessed as high risk.</w:t>
      </w:r>
    </w:p>
    <w:p w14:paraId="15C046B2" w14:textId="55263341" w:rsidR="00FC5442" w:rsidRPr="00FC5442" w:rsidRDefault="00FC5442" w:rsidP="00BD19DA">
      <w:pPr>
        <w:pStyle w:val="CambriaNormal"/>
        <w:numPr>
          <w:ilvl w:val="0"/>
          <w:numId w:val="49"/>
        </w:numPr>
        <w:spacing w:before="120" w:after="0" w:line="276" w:lineRule="auto"/>
        <w:ind w:left="1080"/>
        <w:rPr>
          <w:rFonts w:cs="Calibri"/>
        </w:rPr>
      </w:pPr>
      <w:r>
        <w:rPr>
          <w:rFonts w:cs="Calibri"/>
        </w:rPr>
        <w:t xml:space="preserve">Control </w:t>
      </w:r>
      <w:r w:rsidRPr="00FC5442">
        <w:rPr>
          <w:rFonts w:cs="Calibri"/>
        </w:rPr>
        <w:t>Evaluation: ARC evaluates existing controls and processes to determine their effectiveness in preventing improper payments.</w:t>
      </w:r>
    </w:p>
    <w:p w14:paraId="403925EE" w14:textId="2289E269" w:rsidR="00FC5442" w:rsidRPr="00FC5442" w:rsidRDefault="00FC5442" w:rsidP="00BD19DA">
      <w:pPr>
        <w:pStyle w:val="CambriaNormal"/>
        <w:numPr>
          <w:ilvl w:val="0"/>
          <w:numId w:val="50"/>
        </w:numPr>
        <w:spacing w:before="120" w:after="0" w:line="276" w:lineRule="auto"/>
        <w:rPr>
          <w:rFonts w:cs="Calibri"/>
        </w:rPr>
      </w:pPr>
      <w:r w:rsidRPr="00FC5442">
        <w:rPr>
          <w:rFonts w:cs="Calibri"/>
        </w:rPr>
        <w:t xml:space="preserve">Recommendations: Based on the findings, ARC </w:t>
      </w:r>
      <w:proofErr w:type="gramStart"/>
      <w:r w:rsidRPr="00FC5442">
        <w:rPr>
          <w:rFonts w:cs="Calibri"/>
        </w:rPr>
        <w:t xml:space="preserve">provides </w:t>
      </w:r>
      <w:r w:rsidR="008942FF">
        <w:rPr>
          <w:rFonts w:cs="Calibri"/>
        </w:rPr>
        <w:t>to</w:t>
      </w:r>
      <w:proofErr w:type="gramEnd"/>
      <w:r w:rsidR="008942FF">
        <w:rPr>
          <w:rFonts w:cs="Calibri"/>
        </w:rPr>
        <w:t xml:space="preserve"> PCLOB</w:t>
      </w:r>
      <w:r w:rsidR="008942FF" w:rsidRPr="00FC5442">
        <w:rPr>
          <w:rFonts w:cs="Calibri"/>
        </w:rPr>
        <w:t xml:space="preserve"> </w:t>
      </w:r>
      <w:r w:rsidRPr="00FC5442">
        <w:rPr>
          <w:rFonts w:cs="Calibri"/>
        </w:rPr>
        <w:t>recommendations for improving controls and reducing the risk of improper payments.</w:t>
      </w:r>
    </w:p>
    <w:p w14:paraId="602885B1" w14:textId="54C3A7E0" w:rsidR="00FC5442" w:rsidRPr="00BD19DA" w:rsidRDefault="00584008" w:rsidP="00BD19DA">
      <w:pPr>
        <w:pStyle w:val="CambriaNormal"/>
        <w:spacing w:before="120" w:after="0" w:line="276" w:lineRule="auto"/>
        <w:ind w:left="720"/>
        <w:rPr>
          <w:rFonts w:cs="Calibri"/>
          <w:b/>
          <w:bCs/>
        </w:rPr>
      </w:pPr>
      <w:r>
        <w:rPr>
          <w:rFonts w:cs="Calibri"/>
        </w:rPr>
        <w:t>Through</w:t>
      </w:r>
      <w:r w:rsidR="00FC5442" w:rsidRPr="00FC5442">
        <w:rPr>
          <w:rFonts w:cs="Calibri"/>
        </w:rPr>
        <w:t xml:space="preserve"> these assessments, </w:t>
      </w:r>
      <w:r>
        <w:rPr>
          <w:rFonts w:cs="Calibri"/>
        </w:rPr>
        <w:t xml:space="preserve">PCLOB </w:t>
      </w:r>
      <w:proofErr w:type="gramStart"/>
      <w:r>
        <w:rPr>
          <w:rFonts w:cs="Calibri"/>
        </w:rPr>
        <w:t>is able to</w:t>
      </w:r>
      <w:proofErr w:type="gramEnd"/>
      <w:r>
        <w:rPr>
          <w:rFonts w:cs="Calibri"/>
        </w:rPr>
        <w:t xml:space="preserve"> </w:t>
      </w:r>
      <w:r w:rsidR="00FC5442" w:rsidRPr="00FC5442">
        <w:rPr>
          <w:rFonts w:cs="Calibri"/>
        </w:rPr>
        <w:t>enhance their financial management practices and reduce the likelihood of financial losses due to improper payments.</w:t>
      </w:r>
      <w:r w:rsidR="00822149">
        <w:rPr>
          <w:rFonts w:cs="Calibri"/>
        </w:rPr>
        <w:t xml:space="preserve"> </w:t>
      </w:r>
    </w:p>
    <w:p w14:paraId="16062C51" w14:textId="582CCD4A" w:rsidR="00C60087" w:rsidRPr="00FC5442" w:rsidRDefault="00FC5442" w:rsidP="00BD19DA">
      <w:pPr>
        <w:pStyle w:val="CambriaNormal"/>
        <w:numPr>
          <w:ilvl w:val="0"/>
          <w:numId w:val="23"/>
        </w:numPr>
        <w:spacing w:after="0" w:line="276" w:lineRule="auto"/>
        <w:rPr>
          <w:rFonts w:cs="Calibri"/>
        </w:rPr>
      </w:pPr>
      <w:r w:rsidRPr="00BD19DA">
        <w:rPr>
          <w:rFonts w:cs="Calibri"/>
          <w:i/>
          <w:iCs/>
        </w:rPr>
        <w:t xml:space="preserve">Recovery Audits. </w:t>
      </w:r>
      <w:r w:rsidR="00584008">
        <w:rPr>
          <w:rFonts w:cs="Calibri"/>
        </w:rPr>
        <w:t xml:space="preserve">In FY </w:t>
      </w:r>
      <w:r w:rsidR="0049075B">
        <w:rPr>
          <w:rFonts w:cs="Calibri"/>
        </w:rPr>
        <w:t>2025</w:t>
      </w:r>
      <w:r w:rsidR="00584008">
        <w:rPr>
          <w:rFonts w:cs="Calibri"/>
        </w:rPr>
        <w:t xml:space="preserve">, </w:t>
      </w:r>
      <w:r w:rsidR="00C60087" w:rsidRPr="00FC5442">
        <w:rPr>
          <w:rFonts w:cs="Calibri"/>
        </w:rPr>
        <w:t xml:space="preserve">PCLOB was not required to perform recovery audits, determine a statistically valid estimate of erroneous payments, or develop a corrective action plan, as the agency’s program was deemed not susceptible to significant improper payments. </w:t>
      </w:r>
    </w:p>
    <w:p w14:paraId="05DEDC45" w14:textId="77777777" w:rsidR="00C60087" w:rsidRPr="00352A92" w:rsidRDefault="00C60087" w:rsidP="00C60087">
      <w:pPr>
        <w:pStyle w:val="CambriaNormal"/>
        <w:spacing w:line="276" w:lineRule="auto"/>
        <w:rPr>
          <w:rFonts w:cs="Calibri"/>
          <w:b/>
          <w:bCs/>
        </w:rPr>
      </w:pPr>
      <w:r w:rsidRPr="00352A92">
        <w:rPr>
          <w:rFonts w:cs="Calibri"/>
          <w:b/>
          <w:bCs/>
        </w:rPr>
        <w:t>Governmentwide Do Not Pay Initiative</w:t>
      </w:r>
    </w:p>
    <w:p w14:paraId="51B5096C" w14:textId="77777777" w:rsidR="00C60087" w:rsidRPr="00352A92" w:rsidRDefault="00C60087" w:rsidP="00C60087">
      <w:pPr>
        <w:pStyle w:val="CambriaNormal"/>
        <w:spacing w:line="276" w:lineRule="auto"/>
        <w:rPr>
          <w:rFonts w:cs="Calibri"/>
        </w:rPr>
      </w:pPr>
      <w:r w:rsidRPr="00352A92">
        <w:rPr>
          <w:rFonts w:cs="Calibri"/>
        </w:rPr>
        <w:t xml:space="preserve">The Do Not Pay (DNP) solution is a governmentwide initiative to screen payment recipients before a contract award or payment is made </w:t>
      </w:r>
      <w:proofErr w:type="gramStart"/>
      <w:r w:rsidRPr="00352A92">
        <w:rPr>
          <w:rFonts w:cs="Calibri"/>
        </w:rPr>
        <w:t>in order to</w:t>
      </w:r>
      <w:proofErr w:type="gramEnd"/>
      <w:r w:rsidRPr="00352A92">
        <w:rPr>
          <w:rFonts w:cs="Calibri"/>
        </w:rPr>
        <w:t xml:space="preserve"> eliminate payment errors before they occur. PCLOB’s financial service provider, </w:t>
      </w:r>
      <w:r>
        <w:rPr>
          <w:rFonts w:cs="Calibri"/>
        </w:rPr>
        <w:t>ARC,</w:t>
      </w:r>
      <w:r w:rsidRPr="00352A92">
        <w:rPr>
          <w:rFonts w:cs="Calibri"/>
        </w:rPr>
        <w:t xml:space="preserve"> has integrated the solution into its existing processes as part of efforts to identify and prevent improper payments, and utilizes the DNP Business Center, on </w:t>
      </w:r>
      <w:r>
        <w:rPr>
          <w:rFonts w:cs="Calibri"/>
        </w:rPr>
        <w:t>PCLOB</w:t>
      </w:r>
      <w:r w:rsidRPr="00352A92">
        <w:rPr>
          <w:rFonts w:cs="Calibri"/>
        </w:rPr>
        <w:t>’s behalf, to perform online searches and screen payments against the DNP databases to augment data analytics capabilities. Based on the results of the reviews to date, the DNP initiative has not identified any improper payments.</w:t>
      </w:r>
    </w:p>
    <w:p w14:paraId="29376394" w14:textId="77777777" w:rsidR="00C60087" w:rsidRPr="000C50CC" w:rsidRDefault="00C60087" w:rsidP="00C60087">
      <w:pPr>
        <w:pStyle w:val="CambriaNormal"/>
        <w:spacing w:line="276" w:lineRule="auto"/>
      </w:pPr>
      <w:r>
        <w:t>PCLOB</w:t>
      </w:r>
      <w:r w:rsidRPr="000C50CC">
        <w:t xml:space="preserve"> upholds its responsibilities to </w:t>
      </w:r>
      <w:r>
        <w:t xml:space="preserve">continuously </w:t>
      </w:r>
      <w:r w:rsidRPr="000C50CC">
        <w:t>improve financial and administrative controls and procedures to identify, assess, and address fraud risks as required by PIIA, as described in the Fraud Reduction Report that follows.</w:t>
      </w:r>
    </w:p>
    <w:p w14:paraId="4CF3FB75" w14:textId="77777777" w:rsidR="00C60087" w:rsidRPr="00C60087" w:rsidRDefault="00C60087" w:rsidP="00603A5D">
      <w:pPr>
        <w:pStyle w:val="Heading2"/>
        <w:keepLines/>
      </w:pPr>
      <w:bookmarkStart w:id="147" w:name="_Toc85212093"/>
      <w:bookmarkStart w:id="148" w:name="_Toc86327266"/>
      <w:bookmarkStart w:id="149" w:name="_Toc213421250"/>
      <w:r w:rsidRPr="00C60087">
        <w:lastRenderedPageBreak/>
        <w:t>Fraud Reduction Act</w:t>
      </w:r>
      <w:bookmarkEnd w:id="147"/>
      <w:bookmarkEnd w:id="148"/>
      <w:bookmarkEnd w:id="149"/>
    </w:p>
    <w:p w14:paraId="47029769" w14:textId="16EA9B95" w:rsidR="00C60087" w:rsidRPr="000C50CC" w:rsidRDefault="00C60087" w:rsidP="00603A5D">
      <w:pPr>
        <w:pStyle w:val="CambriaNormal"/>
        <w:keepNext/>
        <w:keepLines/>
        <w:spacing w:line="276" w:lineRule="auto"/>
      </w:pPr>
      <w:hyperlink r:id="rId126" w:history="1">
        <w:r w:rsidRPr="00F956E3">
          <w:rPr>
            <w:rStyle w:val="Hyperlink"/>
          </w:rPr>
          <w:t>The Fraud Reduction and Data Analytics Act of 2015</w:t>
        </w:r>
      </w:hyperlink>
      <w:r w:rsidRPr="000C50CC">
        <w:t xml:space="preserve"> (Pub. L. 114-186, 31 U.S.C. § 3321 note), now incorporated into the PIIA, requires agencies to implement the GAO’s </w:t>
      </w:r>
      <w:r w:rsidRPr="000C50CC">
        <w:rPr>
          <w:i/>
          <w:iCs/>
        </w:rPr>
        <w:t>A Framework to Managing Fraud Risks in Federal Programs</w:t>
      </w:r>
      <w:r w:rsidRPr="000C50CC">
        <w:t xml:space="preserve">. The GAO framework identifies four steps that agencies should follow: </w:t>
      </w:r>
      <w:r w:rsidR="00D56085">
        <w:t>(</w:t>
      </w:r>
      <w:r w:rsidRPr="000C50CC">
        <w:t xml:space="preserve">1) commit to creating an organization that is conductive to manage fraud risk, </w:t>
      </w:r>
      <w:r w:rsidR="00D56085">
        <w:t>(</w:t>
      </w:r>
      <w:r w:rsidRPr="000C50CC">
        <w:t xml:space="preserve">2) assess the fraud risks within the organization, </w:t>
      </w:r>
      <w:r w:rsidR="00D56085">
        <w:t>(</w:t>
      </w:r>
      <w:r w:rsidRPr="000C50CC">
        <w:t xml:space="preserve">3) design and implement controls that reduce risk of fraud, and </w:t>
      </w:r>
      <w:r w:rsidR="00D56085">
        <w:t>(</w:t>
      </w:r>
      <w:r w:rsidRPr="000C50CC">
        <w:t xml:space="preserve">4) evaluate and adapt assessment outcomes. PCLOB’s approach to managing fraud risk starts with a strong tone at the top. This includes messaging from senior officials regarding the importance of a culture committed to a high level of integrity and resources dedicated to ensuring that ethics training is provided annually to all employees. </w:t>
      </w:r>
    </w:p>
    <w:p w14:paraId="4977842A" w14:textId="77777777" w:rsidR="00C60087" w:rsidRPr="000C50CC" w:rsidRDefault="00C60087" w:rsidP="00C60087">
      <w:pPr>
        <w:pStyle w:val="CambriaNormal"/>
        <w:spacing w:line="276" w:lineRule="auto"/>
      </w:pPr>
      <w:r w:rsidRPr="000C50CC">
        <w:t xml:space="preserve">PCLOB has established a system of internal controls to support effective and efficient operations that also </w:t>
      </w:r>
      <w:proofErr w:type="gramStart"/>
      <w:r w:rsidRPr="000C50CC">
        <w:t>helps</w:t>
      </w:r>
      <w:proofErr w:type="gramEnd"/>
      <w:r w:rsidRPr="000C50CC">
        <w:t xml:space="preserve"> to mitigate the risk of fraud. Such controls, which overlay formal policies and procedures, typically deal with factors such as approval and authorization processes, access restrictions and transaction controls, account reconciliations, and physical security. These procedures often include the division of responsibilities and </w:t>
      </w:r>
      <w:proofErr w:type="gramStart"/>
      <w:r w:rsidRPr="000C50CC">
        <w:t>checks</w:t>
      </w:r>
      <w:proofErr w:type="gramEnd"/>
      <w:r w:rsidRPr="000C50CC">
        <w:t xml:space="preserve"> and balances to reduce risk. To the extent that these controls affect financial reporting, they are reviewed and tested by management on an annual basis. While strong internal controls help to mitigate the risk of fraud, employees are </w:t>
      </w:r>
      <w:r>
        <w:t>always</w:t>
      </w:r>
      <w:r w:rsidRPr="000C50CC">
        <w:t xml:space="preserve"> encouraged to contact the General Counsel or the GAO’s </w:t>
      </w:r>
      <w:proofErr w:type="spellStart"/>
      <w:r w:rsidRPr="000C50CC">
        <w:t>FraudNet</w:t>
      </w:r>
      <w:proofErr w:type="spellEnd"/>
      <w:r w:rsidRPr="000C50CC">
        <w:t xml:space="preserve"> hotline should they suspect instances of fraud. </w:t>
      </w:r>
    </w:p>
    <w:p w14:paraId="0916241D" w14:textId="5B924699" w:rsidR="00C60087" w:rsidRPr="000C50CC" w:rsidRDefault="00C60087" w:rsidP="00C60087">
      <w:pPr>
        <w:pStyle w:val="CambriaNormal"/>
        <w:keepNext/>
        <w:keepLines/>
        <w:spacing w:line="276" w:lineRule="auto"/>
        <w:rPr>
          <w:strike/>
        </w:rPr>
      </w:pPr>
      <w:r w:rsidRPr="000C50CC">
        <w:t xml:space="preserve">Analysis of results from testing performed and the overall business environment can </w:t>
      </w:r>
      <w:r w:rsidR="00C35E3D">
        <w:t>prompt</w:t>
      </w:r>
      <w:r w:rsidRPr="000C50CC">
        <w:t xml:space="preserve"> additional training </w:t>
      </w:r>
      <w:r w:rsidR="00C35E3D">
        <w:t>about areas</w:t>
      </w:r>
      <w:r w:rsidR="00C35E3D" w:rsidRPr="000C50CC">
        <w:t xml:space="preserve"> </w:t>
      </w:r>
      <w:r w:rsidR="00C35E3D">
        <w:t xml:space="preserve">where there is a </w:t>
      </w:r>
      <w:r w:rsidRPr="000C50CC">
        <w:t xml:space="preserve">heightened risk of fraud. For example, PCLOB contracting officer representatives are required to take annual training </w:t>
      </w:r>
      <w:r w:rsidR="002252FC">
        <w:t>about</w:t>
      </w:r>
      <w:r w:rsidR="002252FC" w:rsidRPr="000C50CC">
        <w:t xml:space="preserve"> </w:t>
      </w:r>
      <w:r w:rsidRPr="000C50CC">
        <w:t xml:space="preserve">the potential for fraud </w:t>
      </w:r>
      <w:proofErr w:type="gramStart"/>
      <w:r w:rsidRPr="000C50CC">
        <w:t>in the area of</w:t>
      </w:r>
      <w:proofErr w:type="gramEnd"/>
      <w:r w:rsidRPr="000C50CC">
        <w:t xml:space="preserve"> procurement. </w:t>
      </w:r>
    </w:p>
    <w:p w14:paraId="317432BF" w14:textId="77777777" w:rsidR="00C60087" w:rsidRPr="000C50CC" w:rsidRDefault="00C60087" w:rsidP="00C60087">
      <w:pPr>
        <w:pStyle w:val="CambriaNormal"/>
        <w:spacing w:line="276" w:lineRule="auto"/>
      </w:pPr>
      <w:r w:rsidRPr="000C50CC">
        <w:t>Management recognizes that the assessment of fraud is an ongoing process and that mitigation strategies need to change as business processes and the overall environment evolve.</w:t>
      </w:r>
    </w:p>
    <w:p w14:paraId="18C3380F" w14:textId="77777777" w:rsidR="002D0B8F" w:rsidRDefault="002D0B8F" w:rsidP="00C60087">
      <w:pPr>
        <w:pStyle w:val="Heading1"/>
        <w:sectPr w:rsidR="002D0B8F" w:rsidSect="00182D44">
          <w:headerReference w:type="default" r:id="rId127"/>
          <w:pgSz w:w="12240" w:h="15840"/>
          <w:pgMar w:top="1980" w:right="1440" w:bottom="1080" w:left="1440" w:header="450" w:footer="720" w:gutter="0"/>
          <w:cols w:space="720"/>
          <w:titlePg/>
          <w:docGrid w:linePitch="360"/>
        </w:sectPr>
      </w:pPr>
      <w:bookmarkStart w:id="150" w:name="_Appendix:_Glossary_of"/>
      <w:bookmarkEnd w:id="150"/>
    </w:p>
    <w:bookmarkStart w:id="151" w:name="_Appendix:_Glossary_of_1"/>
    <w:bookmarkStart w:id="152" w:name="_Toc213421251"/>
    <w:bookmarkEnd w:id="151"/>
    <w:p w14:paraId="6805EF85" w14:textId="668FA347" w:rsidR="006877C4" w:rsidRPr="004F6CEA" w:rsidRDefault="00A1325B" w:rsidP="006877C4">
      <w:pPr>
        <w:pStyle w:val="Heading1"/>
        <w:rPr>
          <w:smallCaps w:val="0"/>
          <w:color w:val="FFFFFF" w:themeColor="background1"/>
          <w:sz w:val="2"/>
          <w:szCs w:val="2"/>
        </w:rPr>
      </w:pPr>
      <w:r>
        <w:rPr>
          <w:noProof/>
        </w:rPr>
        <w:lastRenderedPageBreak/>
        <mc:AlternateContent>
          <mc:Choice Requires="wps">
            <w:drawing>
              <wp:anchor distT="0" distB="0" distL="114300" distR="114300" simplePos="0" relativeHeight="251624947" behindDoc="0" locked="0" layoutInCell="1" allowOverlap="1" wp14:anchorId="2A0BB40E" wp14:editId="259A39DE">
                <wp:simplePos x="0" y="0"/>
                <wp:positionH relativeFrom="column">
                  <wp:posOffset>-869021</wp:posOffset>
                </wp:positionH>
                <wp:positionV relativeFrom="paragraph">
                  <wp:posOffset>-164380</wp:posOffset>
                </wp:positionV>
                <wp:extent cx="8035290" cy="11694795"/>
                <wp:effectExtent l="57150" t="0" r="80010" b="135255"/>
                <wp:wrapNone/>
                <wp:docPr id="1899179813" name="Rectangle 27"/>
                <wp:cNvGraphicFramePr/>
                <a:graphic xmlns:a="http://schemas.openxmlformats.org/drawingml/2006/main">
                  <a:graphicData uri="http://schemas.microsoft.com/office/word/2010/wordprocessingShape">
                    <wps:wsp>
                      <wps:cNvSpPr/>
                      <wps:spPr>
                        <a:xfrm>
                          <a:off x="0" y="0"/>
                          <a:ext cx="8035290" cy="11694795"/>
                        </a:xfrm>
                        <a:prstGeom prst="rect">
                          <a:avLst/>
                        </a:prstGeom>
                        <a:solidFill>
                          <a:srgbClr val="424E62"/>
                        </a:solidFill>
                        <a:ln/>
                        <a:effectLst>
                          <a:outerShdw blurRad="50800" dist="50800" dir="5400000" algn="ctr" rotWithShape="0">
                            <a:srgbClr val="000000"/>
                          </a:outerShdw>
                        </a:effectLst>
                      </wps:spPr>
                      <wps:style>
                        <a:lnRef idx="2">
                          <a:schemeClr val="accent1">
                            <a:shade val="15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03D74" id="Rectangle 27" o:spid="_x0000_s1026" style="position:absolute;margin-left:-68.45pt;margin-top:-12.95pt;width:632.7pt;height:920.85pt;z-index:251624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" fillcolor="#424e62" strokecolor="#0b0f19 [484]" strokeweight="1pt">
                <v:shadow on="t" color="black" offset="0,4pt"/>
              </v:rect>
            </w:pict>
          </mc:Fallback>
        </mc:AlternateContent>
      </w:r>
      <w:r w:rsidR="00C35661" w:rsidRPr="0076771F">
        <w:rPr>
          <w:noProof/>
          <w:color w:val="FFFFFF" w:themeColor="background1"/>
          <w:sz w:val="4"/>
          <w:szCs w:val="4"/>
        </w:rPr>
        <mc:AlternateContent>
          <mc:Choice Requires="wps">
            <w:drawing>
              <wp:anchor distT="45720" distB="45720" distL="114300" distR="114300" simplePos="0" relativeHeight="251825664" behindDoc="0" locked="0" layoutInCell="1" allowOverlap="1" wp14:anchorId="51DE062A" wp14:editId="0AB0A5B4">
                <wp:simplePos x="0" y="0"/>
                <wp:positionH relativeFrom="margin">
                  <wp:posOffset>-457200</wp:posOffset>
                </wp:positionH>
                <wp:positionV relativeFrom="paragraph">
                  <wp:posOffset>167005</wp:posOffset>
                </wp:positionV>
                <wp:extent cx="6877050" cy="2562225"/>
                <wp:effectExtent l="0" t="0" r="0" b="0"/>
                <wp:wrapSquare wrapText="bothSides"/>
                <wp:docPr id="829376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2562225"/>
                        </a:xfrm>
                        <a:prstGeom prst="rect">
                          <a:avLst/>
                        </a:prstGeom>
                        <a:noFill/>
                        <a:ln w="9525">
                          <a:noFill/>
                          <a:miter lim="800000"/>
                          <a:headEnd/>
                          <a:tailEnd/>
                        </a:ln>
                      </wps:spPr>
                      <wps:txbx>
                        <w:txbxContent>
                          <w:p w14:paraId="08F37264" w14:textId="77777777" w:rsidR="00C35661" w:rsidRPr="00064251" w:rsidRDefault="009F02CE" w:rsidP="009F02CE">
                            <w:pPr>
                              <w:jc w:val="cente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pPr>
                            <w:r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Appendix</w:t>
                            </w:r>
                            <w:r w:rsidR="00C35661"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w:t>
                            </w:r>
                          </w:p>
                          <w:p w14:paraId="32164F92" w14:textId="179AF0FC" w:rsidR="006877C4" w:rsidRPr="00064251" w:rsidRDefault="004E3E3A" w:rsidP="009F02CE">
                            <w:pPr>
                              <w:jc w:val="center"/>
                              <w:rPr>
                                <w:smallCaps/>
                                <w:color w:val="FFFFFF" w:themeColor="background1"/>
                                <w:spacing w:val="40"/>
                                <w:sz w:val="72"/>
                                <w:szCs w:val="72"/>
                              </w:rPr>
                            </w:pPr>
                            <w: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A</w:t>
                            </w:r>
                            <w:r w:rsidR="006877C4"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bbreviations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DE062A" id="_x0000_s1044" type="#_x0000_t202" style="position:absolute;margin-left:-36pt;margin-top:13.15pt;width:541.5pt;height:201.75pt;z-index:25182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" filled="f" stroked="f">
                <v:textbox>
                  <w:txbxContent>
                    <w:p w14:paraId="08F37264" w14:textId="77777777" w:rsidR="00C35661" w:rsidRPr="00064251" w:rsidRDefault="009F02CE" w:rsidP="009F02CE">
                      <w:pPr>
                        <w:jc w:val="cente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pPr>
                      <w:r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Appendix</w:t>
                      </w:r>
                      <w:r w:rsidR="00C35661"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w:t>
                      </w:r>
                    </w:p>
                    <w:p w14:paraId="32164F92" w14:textId="179AF0FC" w:rsidR="006877C4" w:rsidRPr="00064251" w:rsidRDefault="004E3E3A" w:rsidP="009F02CE">
                      <w:pPr>
                        <w:jc w:val="center"/>
                        <w:rPr>
                          <w:smallCaps/>
                          <w:color w:val="FFFFFF" w:themeColor="background1"/>
                          <w:spacing w:val="40"/>
                          <w:sz w:val="72"/>
                          <w:szCs w:val="72"/>
                        </w:rPr>
                      </w:pPr>
                      <w:r>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A</w:t>
                      </w:r>
                      <w:r w:rsidR="006877C4" w:rsidRPr="00064251">
                        <w:rPr>
                          <w:rFonts w:ascii="Cambria" w:eastAsia="Times New Roman" w:hAnsi="Cambria"/>
                          <w:smallCaps/>
                          <w:color w:val="FFFFFF" w:themeColor="background1"/>
                          <w:spacing w:val="40"/>
                          <w:sz w:val="72"/>
                          <w:szCs w:val="72"/>
                          <w:lang w:eastAsia="x-none"/>
                          <w14:shadow w14:blurRad="50800" w14:dist="38100" w14:dir="2700000" w14:sx="100000" w14:sy="100000" w14:kx="0" w14:ky="0" w14:algn="tl">
                            <w14:srgbClr w14:val="000000">
                              <w14:alpha w14:val="60000"/>
                            </w14:srgbClr>
                          </w14:shadow>
                        </w:rPr>
                        <w:t>bbreviations</w:t>
                      </w:r>
                    </w:p>
                  </w:txbxContent>
                </v:textbox>
                <w10:wrap type="square" anchorx="margin"/>
              </v:shape>
            </w:pict>
          </mc:Fallback>
        </mc:AlternateContent>
      </w:r>
      <w:r w:rsidR="006877C4" w:rsidRPr="00EE3EAB">
        <w:rPr>
          <w:color w:val="FFFFFF" w:themeColor="background1"/>
          <w:sz w:val="2"/>
          <w:szCs w:val="2"/>
        </w:rPr>
        <w:t>A</w:t>
      </w:r>
      <w:r w:rsidR="0076771F" w:rsidRPr="00EE3EAB">
        <w:rPr>
          <w:color w:val="FFFFFF" w:themeColor="background1"/>
          <w:sz w:val="2"/>
          <w:szCs w:val="2"/>
        </w:rPr>
        <w:t>ppe</w:t>
      </w:r>
      <w:r w:rsidR="0076771F" w:rsidRPr="004F6CEA">
        <w:rPr>
          <w:color w:val="FFFFFF" w:themeColor="background1"/>
          <w:sz w:val="2"/>
          <w:szCs w:val="2"/>
        </w:rPr>
        <w:t>ndix: Abbreviations</w:t>
      </w:r>
      <w:bookmarkEnd w:id="152"/>
    </w:p>
    <w:p w14:paraId="514DB365" w14:textId="4454C4C7" w:rsidR="009F02CE" w:rsidRDefault="00A1325B" w:rsidP="0076771F">
      <w:pPr>
        <w:rPr>
          <w:rFonts w:ascii="Cambria" w:eastAsia="Calibri" w:hAnsi="Cambria" w:cs="Times New Roman"/>
          <w:b/>
          <w:smallCaps/>
          <w:color w:val="2F5496"/>
          <w:sz w:val="40"/>
          <w:szCs w:val="40"/>
        </w:rPr>
      </w:pPr>
      <w:r w:rsidRPr="00182D44">
        <w:rPr>
          <w:b/>
          <w:bCs/>
          <w:caps/>
          <w:noProof/>
          <w:color w:val="4A66AC" w:themeColor="accent1"/>
          <w:spacing w:val="40"/>
        </w:rPr>
        <w:drawing>
          <wp:anchor distT="0" distB="0" distL="114300" distR="114300" simplePos="0" relativeHeight="251826688" behindDoc="0" locked="0" layoutInCell="1" allowOverlap="1" wp14:anchorId="76A23C77" wp14:editId="5C652F8B">
            <wp:simplePos x="0" y="0"/>
            <wp:positionH relativeFrom="margin">
              <wp:posOffset>2074656</wp:posOffset>
            </wp:positionH>
            <wp:positionV relativeFrom="page">
              <wp:posOffset>4174269</wp:posOffset>
            </wp:positionV>
            <wp:extent cx="2033270" cy="2001520"/>
            <wp:effectExtent l="0" t="0" r="5080" b="0"/>
            <wp:wrapThrough wrapText="bothSides">
              <wp:wrapPolygon edited="0">
                <wp:start x="8297" y="0"/>
                <wp:lineTo x="6881" y="206"/>
                <wp:lineTo x="2226" y="2673"/>
                <wp:lineTo x="2024" y="3495"/>
                <wp:lineTo x="202" y="6579"/>
                <wp:lineTo x="0" y="8635"/>
                <wp:lineTo x="0" y="13569"/>
                <wp:lineTo x="809" y="16447"/>
                <wp:lineTo x="4250" y="19942"/>
                <wp:lineTo x="7285" y="21381"/>
                <wp:lineTo x="7690" y="21381"/>
                <wp:lineTo x="13357" y="21381"/>
                <wp:lineTo x="13761" y="21381"/>
                <wp:lineTo x="17404" y="19736"/>
                <wp:lineTo x="20035" y="16652"/>
                <wp:lineTo x="20035" y="16447"/>
                <wp:lineTo x="21452" y="13157"/>
                <wp:lineTo x="21452" y="9457"/>
                <wp:lineTo x="21047" y="6579"/>
                <wp:lineTo x="19833" y="4728"/>
                <wp:lineTo x="18821" y="2673"/>
                <wp:lineTo x="14773" y="411"/>
                <wp:lineTo x="12952" y="0"/>
                <wp:lineTo x="8297" y="0"/>
              </wp:wrapPolygon>
            </wp:wrapThrough>
            <wp:docPr id="1832622185"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3270" cy="2001520"/>
                    </a:xfrm>
                    <a:prstGeom prst="rect">
                      <a:avLst/>
                    </a:prstGeom>
                  </pic:spPr>
                </pic:pic>
              </a:graphicData>
            </a:graphic>
            <wp14:sizeRelH relativeFrom="margin">
              <wp14:pctWidth>0</wp14:pctWidth>
            </wp14:sizeRelH>
            <wp14:sizeRelV relativeFrom="margin">
              <wp14:pctHeight>0</wp14:pctHeight>
            </wp14:sizeRelV>
          </wp:anchor>
        </w:drawing>
      </w:r>
      <w:r w:rsidR="009F02CE">
        <w:br w:type="page"/>
      </w:r>
    </w:p>
    <w:tbl>
      <w:tblPr>
        <w:tblpPr w:leftFromText="180" w:rightFromText="180" w:vertAnchor="text" w:tblpY="1"/>
        <w:tblOverlap w:val="never"/>
        <w:tblW w:w="0" w:type="auto"/>
        <w:tblLook w:val="04A0" w:firstRow="1" w:lastRow="0" w:firstColumn="1" w:lastColumn="0" w:noHBand="0" w:noVBand="1"/>
      </w:tblPr>
      <w:tblGrid>
        <w:gridCol w:w="2070"/>
        <w:gridCol w:w="7290"/>
      </w:tblGrid>
      <w:tr w:rsidR="00B51430" w:rsidRPr="000C50CC" w14:paraId="63FF4D37" w14:textId="77777777" w:rsidTr="00BC03F5">
        <w:trPr>
          <w:trHeight w:hRule="exact" w:val="555"/>
        </w:trPr>
        <w:tc>
          <w:tcPr>
            <w:tcW w:w="2070" w:type="dxa"/>
          </w:tcPr>
          <w:p w14:paraId="3B687ED4" w14:textId="3A8BBDBA" w:rsidR="00B51430" w:rsidRPr="00786F8C" w:rsidRDefault="00B51430" w:rsidP="00CF7C92">
            <w:pPr>
              <w:pStyle w:val="CambriaNormal"/>
              <w:jc w:val="left"/>
            </w:pPr>
            <w:r>
              <w:lastRenderedPageBreak/>
              <w:t>9/11 Commission</w:t>
            </w:r>
          </w:p>
        </w:tc>
        <w:tc>
          <w:tcPr>
            <w:tcW w:w="7290" w:type="dxa"/>
          </w:tcPr>
          <w:p w14:paraId="32D6581E" w14:textId="44D77538" w:rsidR="00B51430" w:rsidRPr="000C50CC" w:rsidRDefault="00B51430" w:rsidP="00CF7C92">
            <w:pPr>
              <w:pStyle w:val="CambriaNormal"/>
              <w:jc w:val="left"/>
            </w:pPr>
            <w:r w:rsidRPr="000C50CC">
              <w:rPr>
                <w:rFonts w:eastAsia="Times New Roman"/>
              </w:rPr>
              <w:t>National Commission on Terrorist Attacks Upon the United States</w:t>
            </w:r>
          </w:p>
        </w:tc>
      </w:tr>
      <w:tr w:rsidR="00C60087" w:rsidRPr="000C50CC" w14:paraId="3DE02C0D" w14:textId="77777777" w:rsidTr="00BC03F5">
        <w:trPr>
          <w:trHeight w:hRule="exact" w:val="555"/>
        </w:trPr>
        <w:tc>
          <w:tcPr>
            <w:tcW w:w="2070" w:type="dxa"/>
          </w:tcPr>
          <w:p w14:paraId="063E8C11" w14:textId="23C2CB44" w:rsidR="00C60087" w:rsidRPr="00786F8C" w:rsidRDefault="00C60087" w:rsidP="00CF7C92">
            <w:pPr>
              <w:pStyle w:val="CambriaNormal"/>
              <w:jc w:val="left"/>
            </w:pPr>
            <w:r w:rsidRPr="00786F8C">
              <w:t>AFR</w:t>
            </w:r>
          </w:p>
        </w:tc>
        <w:tc>
          <w:tcPr>
            <w:tcW w:w="7290" w:type="dxa"/>
          </w:tcPr>
          <w:p w14:paraId="28902B77" w14:textId="46A589C0" w:rsidR="00C60087" w:rsidRPr="000C50CC" w:rsidRDefault="00C60087" w:rsidP="00CF7C92">
            <w:pPr>
              <w:pStyle w:val="CambriaNormal"/>
              <w:jc w:val="left"/>
            </w:pPr>
            <w:r w:rsidRPr="000C50CC">
              <w:t>Agency Financial Report</w:t>
            </w:r>
          </w:p>
        </w:tc>
      </w:tr>
      <w:tr w:rsidR="00B70D5D" w:rsidRPr="000C50CC" w14:paraId="1D6D71B5" w14:textId="77777777" w:rsidTr="00BC03F5">
        <w:trPr>
          <w:trHeight w:hRule="exact" w:val="555"/>
        </w:trPr>
        <w:tc>
          <w:tcPr>
            <w:tcW w:w="2070" w:type="dxa"/>
          </w:tcPr>
          <w:p w14:paraId="5693DE16" w14:textId="1A7EC5FD" w:rsidR="00B70D5D" w:rsidRPr="00F653B5" w:rsidRDefault="00B70D5D" w:rsidP="00CF7C92">
            <w:pPr>
              <w:pStyle w:val="CambriaNormal"/>
              <w:jc w:val="left"/>
            </w:pPr>
            <w:r w:rsidRPr="00F653B5">
              <w:t>AI</w:t>
            </w:r>
          </w:p>
        </w:tc>
        <w:tc>
          <w:tcPr>
            <w:tcW w:w="7290" w:type="dxa"/>
          </w:tcPr>
          <w:p w14:paraId="01BBD1D4" w14:textId="2B382AB6" w:rsidR="00B70D5D" w:rsidRPr="000C50CC" w:rsidRDefault="00B70D5D" w:rsidP="00CF7C92">
            <w:pPr>
              <w:pStyle w:val="CambriaNormal"/>
              <w:jc w:val="left"/>
            </w:pPr>
            <w:r>
              <w:t>Artificial Intelligence</w:t>
            </w:r>
          </w:p>
        </w:tc>
      </w:tr>
      <w:tr w:rsidR="00C60087" w:rsidRPr="000C50CC" w14:paraId="200C95E6" w14:textId="77777777" w:rsidTr="00BC03F5">
        <w:trPr>
          <w:trHeight w:hRule="exact" w:val="555"/>
        </w:trPr>
        <w:tc>
          <w:tcPr>
            <w:tcW w:w="2070" w:type="dxa"/>
          </w:tcPr>
          <w:p w14:paraId="5C06D4EC" w14:textId="77777777" w:rsidR="00C60087" w:rsidRPr="00F653B5" w:rsidRDefault="00C60087" w:rsidP="00CF7C92">
            <w:pPr>
              <w:pStyle w:val="CambriaNormal"/>
              <w:jc w:val="left"/>
            </w:pPr>
            <w:r w:rsidRPr="00F653B5">
              <w:t>AICPA</w:t>
            </w:r>
          </w:p>
        </w:tc>
        <w:tc>
          <w:tcPr>
            <w:tcW w:w="7290" w:type="dxa"/>
          </w:tcPr>
          <w:p w14:paraId="0D2358A6" w14:textId="6094DDDD" w:rsidR="00C60087" w:rsidRPr="000C50CC" w:rsidRDefault="00C60087" w:rsidP="00CF7C92">
            <w:pPr>
              <w:pStyle w:val="CambriaNormal"/>
              <w:jc w:val="left"/>
            </w:pPr>
            <w:r w:rsidRPr="000C50CC">
              <w:t>American Institute of Certified Public Accountants</w:t>
            </w:r>
          </w:p>
        </w:tc>
      </w:tr>
      <w:tr w:rsidR="00C60087" w:rsidRPr="000C50CC" w14:paraId="16B681E2" w14:textId="77777777" w:rsidTr="00BC03F5">
        <w:trPr>
          <w:trHeight w:hRule="exact" w:val="555"/>
        </w:trPr>
        <w:tc>
          <w:tcPr>
            <w:tcW w:w="2070" w:type="dxa"/>
          </w:tcPr>
          <w:p w14:paraId="1DDF57DF" w14:textId="77777777" w:rsidR="00C60087" w:rsidRPr="00F653B5" w:rsidRDefault="00C60087" w:rsidP="00CF7C92">
            <w:pPr>
              <w:pStyle w:val="CambriaNormal"/>
              <w:jc w:val="left"/>
            </w:pPr>
            <w:r w:rsidRPr="00F653B5">
              <w:t>ARC</w:t>
            </w:r>
          </w:p>
        </w:tc>
        <w:tc>
          <w:tcPr>
            <w:tcW w:w="7290" w:type="dxa"/>
          </w:tcPr>
          <w:p w14:paraId="1C3ACC26" w14:textId="4113EF65" w:rsidR="00C60087" w:rsidRPr="000C50CC" w:rsidRDefault="00C60087" w:rsidP="00CF7C92">
            <w:pPr>
              <w:pStyle w:val="CambriaNormal"/>
              <w:jc w:val="left"/>
            </w:pPr>
            <w:r w:rsidRPr="000C50CC">
              <w:t>Administrative Resource Center</w:t>
            </w:r>
          </w:p>
        </w:tc>
      </w:tr>
      <w:tr w:rsidR="00C60087" w:rsidRPr="000C50CC" w14:paraId="339BBE24" w14:textId="77777777" w:rsidTr="00BC03F5">
        <w:trPr>
          <w:trHeight w:hRule="exact" w:val="555"/>
        </w:trPr>
        <w:tc>
          <w:tcPr>
            <w:tcW w:w="2070" w:type="dxa"/>
          </w:tcPr>
          <w:p w14:paraId="78A3EB7B" w14:textId="77777777" w:rsidR="00C60087" w:rsidRPr="00F653B5" w:rsidRDefault="00C60087" w:rsidP="00CF7C92">
            <w:pPr>
              <w:pStyle w:val="CambriaNormal"/>
              <w:jc w:val="left"/>
            </w:pPr>
            <w:r w:rsidRPr="00F653B5">
              <w:t>CEAR</w:t>
            </w:r>
          </w:p>
        </w:tc>
        <w:tc>
          <w:tcPr>
            <w:tcW w:w="7290" w:type="dxa"/>
          </w:tcPr>
          <w:p w14:paraId="438DD7C7" w14:textId="447028F3" w:rsidR="00C60087" w:rsidRPr="000C50CC" w:rsidRDefault="00C60087" w:rsidP="00CF7C92">
            <w:pPr>
              <w:pStyle w:val="CambriaNormal"/>
              <w:jc w:val="left"/>
            </w:pPr>
            <w:r w:rsidRPr="000C50CC">
              <w:t>Certificate of Excellence in Accountability Reporting</w:t>
            </w:r>
          </w:p>
        </w:tc>
      </w:tr>
      <w:tr w:rsidR="00975D62" w:rsidRPr="000C50CC" w14:paraId="50C22DF5" w14:textId="77777777" w:rsidTr="00BC03F5">
        <w:trPr>
          <w:trHeight w:hRule="exact" w:val="555"/>
        </w:trPr>
        <w:tc>
          <w:tcPr>
            <w:tcW w:w="2070" w:type="dxa"/>
          </w:tcPr>
          <w:p w14:paraId="64EE841D" w14:textId="5E081916" w:rsidR="00975D62" w:rsidRPr="00F653B5" w:rsidRDefault="00975D62" w:rsidP="00CF7C92">
            <w:pPr>
              <w:pStyle w:val="CambriaNormal"/>
              <w:jc w:val="left"/>
            </w:pPr>
            <w:r>
              <w:t>CFO</w:t>
            </w:r>
          </w:p>
        </w:tc>
        <w:tc>
          <w:tcPr>
            <w:tcW w:w="7290" w:type="dxa"/>
          </w:tcPr>
          <w:p w14:paraId="2D4F281A" w14:textId="5F3B30E8" w:rsidR="00975D62" w:rsidRPr="000C50CC" w:rsidRDefault="00975D62" w:rsidP="00CF7C92">
            <w:pPr>
              <w:pStyle w:val="CambriaNormal"/>
              <w:jc w:val="left"/>
            </w:pPr>
            <w:r>
              <w:t>Chief Financial Officer</w:t>
            </w:r>
          </w:p>
        </w:tc>
      </w:tr>
      <w:tr w:rsidR="00C60087" w:rsidRPr="000C50CC" w14:paraId="08B9F797" w14:textId="77777777" w:rsidTr="00BC03F5">
        <w:trPr>
          <w:trHeight w:hRule="exact" w:val="555"/>
        </w:trPr>
        <w:tc>
          <w:tcPr>
            <w:tcW w:w="2070" w:type="dxa"/>
          </w:tcPr>
          <w:p w14:paraId="0275A9AB" w14:textId="77777777" w:rsidR="00C60087" w:rsidRPr="00F653B5" w:rsidRDefault="00C60087" w:rsidP="00CF7C92">
            <w:pPr>
              <w:pStyle w:val="CambriaNormal"/>
              <w:jc w:val="left"/>
            </w:pPr>
            <w:r w:rsidRPr="00F653B5">
              <w:t>CISA</w:t>
            </w:r>
          </w:p>
        </w:tc>
        <w:tc>
          <w:tcPr>
            <w:tcW w:w="7290" w:type="dxa"/>
          </w:tcPr>
          <w:p w14:paraId="76FAA5DD" w14:textId="77777777" w:rsidR="00C60087" w:rsidRPr="000C50CC" w:rsidRDefault="00C60087" w:rsidP="00CF7C92">
            <w:pPr>
              <w:pStyle w:val="CambriaNormal"/>
              <w:jc w:val="left"/>
            </w:pPr>
            <w:r w:rsidRPr="000C50CC">
              <w:t>Cybersecurity and Infrastructure Security Agency</w:t>
            </w:r>
          </w:p>
        </w:tc>
      </w:tr>
      <w:tr w:rsidR="00FB1377" w:rsidRPr="000C50CC" w14:paraId="030448D1" w14:textId="77777777" w:rsidTr="00BC03F5">
        <w:trPr>
          <w:trHeight w:hRule="exact" w:val="555"/>
        </w:trPr>
        <w:tc>
          <w:tcPr>
            <w:tcW w:w="2070" w:type="dxa"/>
          </w:tcPr>
          <w:p w14:paraId="7E924A9F" w14:textId="2C67453C" w:rsidR="00FB1377" w:rsidRPr="00F653B5" w:rsidRDefault="00FB1377" w:rsidP="00CF7C92">
            <w:pPr>
              <w:pStyle w:val="CambriaNormal"/>
              <w:jc w:val="left"/>
            </w:pPr>
            <w:r w:rsidRPr="00F653B5">
              <w:t>CLPO</w:t>
            </w:r>
          </w:p>
        </w:tc>
        <w:tc>
          <w:tcPr>
            <w:tcW w:w="7290" w:type="dxa"/>
          </w:tcPr>
          <w:p w14:paraId="4D459F7C" w14:textId="0B6378C1" w:rsidR="00FB1377" w:rsidRDefault="00FB1377" w:rsidP="00CF7C92">
            <w:pPr>
              <w:pStyle w:val="CambriaNormal"/>
              <w:jc w:val="left"/>
              <w:rPr>
                <w:bCs/>
              </w:rPr>
            </w:pPr>
            <w:r>
              <w:rPr>
                <w:bCs/>
              </w:rPr>
              <w:t>Civil Liberties and Privacy Officer</w:t>
            </w:r>
          </w:p>
        </w:tc>
      </w:tr>
      <w:tr w:rsidR="00C60087" w:rsidRPr="000C50CC" w14:paraId="16B2295E" w14:textId="77777777" w:rsidTr="00BC03F5">
        <w:trPr>
          <w:trHeight w:hRule="exact" w:val="555"/>
        </w:trPr>
        <w:tc>
          <w:tcPr>
            <w:tcW w:w="2070" w:type="dxa"/>
          </w:tcPr>
          <w:p w14:paraId="37FA5E7E" w14:textId="77777777" w:rsidR="00C60087" w:rsidRPr="00F653B5" w:rsidRDefault="00C60087" w:rsidP="00CF7C92">
            <w:pPr>
              <w:pStyle w:val="CambriaNormal"/>
              <w:jc w:val="left"/>
            </w:pPr>
            <w:r w:rsidRPr="00F653B5">
              <w:t>DATA Act</w:t>
            </w:r>
          </w:p>
        </w:tc>
        <w:tc>
          <w:tcPr>
            <w:tcW w:w="7290" w:type="dxa"/>
          </w:tcPr>
          <w:p w14:paraId="1B07D63A" w14:textId="74DE0E3F" w:rsidR="00C60087" w:rsidRPr="000C50CC" w:rsidRDefault="00C60087" w:rsidP="00CF7C92">
            <w:pPr>
              <w:pStyle w:val="CambriaNormal"/>
              <w:jc w:val="left"/>
            </w:pPr>
            <w:r w:rsidRPr="000C50CC">
              <w:t>Digital Accountability and Transparency Act</w:t>
            </w:r>
            <w:r w:rsidR="00786F8C">
              <w:t xml:space="preserve"> of 2014</w:t>
            </w:r>
          </w:p>
        </w:tc>
      </w:tr>
      <w:tr w:rsidR="003B2822" w:rsidRPr="000C50CC" w14:paraId="5681AB1E" w14:textId="77777777" w:rsidTr="00BC03F5">
        <w:trPr>
          <w:trHeight w:hRule="exact" w:val="555"/>
        </w:trPr>
        <w:tc>
          <w:tcPr>
            <w:tcW w:w="2070" w:type="dxa"/>
          </w:tcPr>
          <w:p w14:paraId="100E7940" w14:textId="51E5B2E4" w:rsidR="003B2822" w:rsidRPr="00F653B5" w:rsidRDefault="003B2822" w:rsidP="00CF7C92">
            <w:pPr>
              <w:pStyle w:val="CambriaNormal"/>
              <w:jc w:val="left"/>
            </w:pPr>
            <w:r w:rsidRPr="00F653B5">
              <w:t>DOI</w:t>
            </w:r>
          </w:p>
        </w:tc>
        <w:tc>
          <w:tcPr>
            <w:tcW w:w="7290" w:type="dxa"/>
          </w:tcPr>
          <w:p w14:paraId="164E578E" w14:textId="7CD2DEA4" w:rsidR="003B2822" w:rsidRPr="000C50CC" w:rsidRDefault="003B2822" w:rsidP="00CF7C92">
            <w:pPr>
              <w:pStyle w:val="CambriaNormal"/>
              <w:jc w:val="left"/>
            </w:pPr>
            <w:r>
              <w:t>Department of the Interior</w:t>
            </w:r>
          </w:p>
        </w:tc>
      </w:tr>
      <w:tr w:rsidR="00C60087" w:rsidRPr="000C50CC" w14:paraId="626675F9" w14:textId="77777777" w:rsidTr="00BC03F5">
        <w:trPr>
          <w:trHeight w:hRule="exact" w:val="555"/>
        </w:trPr>
        <w:tc>
          <w:tcPr>
            <w:tcW w:w="2070" w:type="dxa"/>
          </w:tcPr>
          <w:p w14:paraId="66556592" w14:textId="77777777" w:rsidR="00C60087" w:rsidRPr="00F653B5" w:rsidRDefault="00C60087" w:rsidP="00CF7C92">
            <w:pPr>
              <w:pStyle w:val="CambriaNormal"/>
              <w:jc w:val="left"/>
            </w:pPr>
            <w:r w:rsidRPr="00F653B5">
              <w:t>DHS</w:t>
            </w:r>
          </w:p>
        </w:tc>
        <w:tc>
          <w:tcPr>
            <w:tcW w:w="7290" w:type="dxa"/>
          </w:tcPr>
          <w:p w14:paraId="75268919" w14:textId="77777777" w:rsidR="00C60087" w:rsidRPr="000C50CC" w:rsidRDefault="00C60087" w:rsidP="00CF7C92">
            <w:pPr>
              <w:pStyle w:val="CambriaNormal"/>
              <w:jc w:val="left"/>
            </w:pPr>
            <w:r w:rsidRPr="000C50CC">
              <w:t>Department of Homeland Security</w:t>
            </w:r>
          </w:p>
        </w:tc>
      </w:tr>
      <w:tr w:rsidR="00C60087" w:rsidRPr="000C50CC" w14:paraId="63F98A14" w14:textId="77777777" w:rsidTr="00BC03F5">
        <w:trPr>
          <w:trHeight w:hRule="exact" w:val="555"/>
        </w:trPr>
        <w:tc>
          <w:tcPr>
            <w:tcW w:w="2070" w:type="dxa"/>
          </w:tcPr>
          <w:p w14:paraId="48DEFDD1" w14:textId="77777777" w:rsidR="00C60087" w:rsidRPr="00F653B5" w:rsidRDefault="00C60087" w:rsidP="00CF7C92">
            <w:pPr>
              <w:pStyle w:val="CambriaNormal"/>
              <w:jc w:val="left"/>
            </w:pPr>
            <w:r w:rsidRPr="00F653B5">
              <w:t>DNP</w:t>
            </w:r>
          </w:p>
        </w:tc>
        <w:tc>
          <w:tcPr>
            <w:tcW w:w="7290" w:type="dxa"/>
          </w:tcPr>
          <w:p w14:paraId="2DBC1D75" w14:textId="77777777" w:rsidR="00C60087" w:rsidRDefault="00C60087" w:rsidP="00CF7C92">
            <w:pPr>
              <w:pStyle w:val="CambriaNormal"/>
              <w:jc w:val="left"/>
              <w:rPr>
                <w:bCs/>
              </w:rPr>
            </w:pPr>
            <w:r>
              <w:rPr>
                <w:bCs/>
              </w:rPr>
              <w:t>Do Not Pay</w:t>
            </w:r>
          </w:p>
          <w:p w14:paraId="24C2E5E0" w14:textId="77777777" w:rsidR="00C60087" w:rsidRPr="000C50CC" w:rsidRDefault="00C60087" w:rsidP="00CF7C92">
            <w:pPr>
              <w:pStyle w:val="CambriaNormal"/>
              <w:jc w:val="left"/>
            </w:pPr>
          </w:p>
        </w:tc>
      </w:tr>
      <w:tr w:rsidR="00C60087" w:rsidRPr="000C50CC" w14:paraId="03496FAF" w14:textId="77777777" w:rsidTr="00BC03F5">
        <w:trPr>
          <w:trHeight w:hRule="exact" w:val="555"/>
        </w:trPr>
        <w:tc>
          <w:tcPr>
            <w:tcW w:w="2070" w:type="dxa"/>
          </w:tcPr>
          <w:p w14:paraId="77331AF2" w14:textId="77777777" w:rsidR="00C60087" w:rsidRPr="00F653B5" w:rsidRDefault="00C60087" w:rsidP="00CF7C92">
            <w:pPr>
              <w:pStyle w:val="CambriaNormal"/>
              <w:jc w:val="left"/>
            </w:pPr>
            <w:r w:rsidRPr="00F653B5">
              <w:t>EO</w:t>
            </w:r>
          </w:p>
        </w:tc>
        <w:tc>
          <w:tcPr>
            <w:tcW w:w="7290" w:type="dxa"/>
          </w:tcPr>
          <w:p w14:paraId="7E9DB583" w14:textId="77777777" w:rsidR="00C60087" w:rsidRPr="000C50CC" w:rsidRDefault="00C60087" w:rsidP="00CF7C92">
            <w:pPr>
              <w:pStyle w:val="CambriaNormal"/>
              <w:jc w:val="left"/>
            </w:pPr>
            <w:r w:rsidRPr="000C50CC">
              <w:t>Executive Order</w:t>
            </w:r>
          </w:p>
        </w:tc>
      </w:tr>
      <w:tr w:rsidR="00C60087" w:rsidRPr="000C50CC" w14:paraId="52A82555" w14:textId="77777777" w:rsidTr="00BC03F5">
        <w:trPr>
          <w:trHeight w:hRule="exact" w:val="555"/>
        </w:trPr>
        <w:tc>
          <w:tcPr>
            <w:tcW w:w="2070" w:type="dxa"/>
          </w:tcPr>
          <w:p w14:paraId="334E4140" w14:textId="77777777" w:rsidR="00C60087" w:rsidRPr="00F653B5" w:rsidRDefault="00C60087" w:rsidP="00CF7C92">
            <w:pPr>
              <w:pStyle w:val="CambriaNormal"/>
              <w:jc w:val="left"/>
            </w:pPr>
            <w:r w:rsidRPr="00F653B5">
              <w:t>EU</w:t>
            </w:r>
          </w:p>
        </w:tc>
        <w:tc>
          <w:tcPr>
            <w:tcW w:w="7290" w:type="dxa"/>
          </w:tcPr>
          <w:p w14:paraId="5C2A0254" w14:textId="77777777" w:rsidR="00C60087" w:rsidRPr="000C50CC" w:rsidRDefault="00C60087" w:rsidP="00CF7C92">
            <w:pPr>
              <w:pStyle w:val="CambriaNormal"/>
              <w:jc w:val="left"/>
            </w:pPr>
            <w:r>
              <w:t>European Union</w:t>
            </w:r>
          </w:p>
        </w:tc>
      </w:tr>
      <w:tr w:rsidR="00C60087" w:rsidRPr="000C50CC" w14:paraId="249529CB" w14:textId="77777777" w:rsidTr="00BC03F5">
        <w:trPr>
          <w:trHeight w:hRule="exact" w:val="555"/>
        </w:trPr>
        <w:tc>
          <w:tcPr>
            <w:tcW w:w="2070" w:type="dxa"/>
          </w:tcPr>
          <w:p w14:paraId="17AD1F66" w14:textId="77777777" w:rsidR="00C60087" w:rsidRPr="00F653B5" w:rsidRDefault="00C60087" w:rsidP="00CF7C92">
            <w:pPr>
              <w:pStyle w:val="CambriaNormal"/>
              <w:jc w:val="left"/>
            </w:pPr>
            <w:r w:rsidRPr="00F653B5">
              <w:t>FASAB</w:t>
            </w:r>
          </w:p>
        </w:tc>
        <w:tc>
          <w:tcPr>
            <w:tcW w:w="7290" w:type="dxa"/>
          </w:tcPr>
          <w:p w14:paraId="679A46A6" w14:textId="77777777" w:rsidR="00C60087" w:rsidRPr="000C50CC" w:rsidRDefault="00C60087" w:rsidP="00CF7C92">
            <w:pPr>
              <w:pStyle w:val="CambriaNormal"/>
              <w:jc w:val="left"/>
            </w:pPr>
            <w:r w:rsidRPr="000C50CC">
              <w:t>Federal Accounting Standards Advisory Board</w:t>
            </w:r>
          </w:p>
        </w:tc>
      </w:tr>
      <w:tr w:rsidR="00C60087" w:rsidRPr="000C50CC" w14:paraId="5A038741" w14:textId="77777777" w:rsidTr="00BC03F5">
        <w:trPr>
          <w:trHeight w:hRule="exact" w:val="555"/>
        </w:trPr>
        <w:tc>
          <w:tcPr>
            <w:tcW w:w="2070" w:type="dxa"/>
          </w:tcPr>
          <w:p w14:paraId="22337A06" w14:textId="77777777" w:rsidR="00C60087" w:rsidRPr="00F653B5" w:rsidRDefault="00C60087" w:rsidP="00CF7C92">
            <w:pPr>
              <w:pStyle w:val="CambriaNormal"/>
              <w:jc w:val="left"/>
            </w:pPr>
            <w:r w:rsidRPr="00F653B5">
              <w:t>FBI</w:t>
            </w:r>
          </w:p>
        </w:tc>
        <w:tc>
          <w:tcPr>
            <w:tcW w:w="7290" w:type="dxa"/>
          </w:tcPr>
          <w:p w14:paraId="2BDD0B34" w14:textId="77777777" w:rsidR="00C60087" w:rsidRPr="000C50CC" w:rsidRDefault="00C60087" w:rsidP="00CF7C92">
            <w:pPr>
              <w:pStyle w:val="CambriaNormal"/>
              <w:jc w:val="left"/>
            </w:pPr>
            <w:r w:rsidRPr="000C50CC">
              <w:t xml:space="preserve">Federal </w:t>
            </w:r>
            <w:r w:rsidRPr="000C50CC">
              <w:rPr>
                <w:rFonts w:eastAsia="Times New Roman"/>
                <w:bCs/>
                <w:color w:val="000000"/>
              </w:rPr>
              <w:t>Bureau of Investigation</w:t>
            </w:r>
          </w:p>
        </w:tc>
      </w:tr>
      <w:tr w:rsidR="00C60087" w:rsidRPr="000C50CC" w14:paraId="42037934" w14:textId="77777777" w:rsidTr="00BC03F5">
        <w:trPr>
          <w:trHeight w:hRule="exact" w:val="555"/>
        </w:trPr>
        <w:tc>
          <w:tcPr>
            <w:tcW w:w="2070" w:type="dxa"/>
          </w:tcPr>
          <w:p w14:paraId="5468BFC0" w14:textId="77777777" w:rsidR="00C60087" w:rsidRPr="00F653B5" w:rsidRDefault="00C60087" w:rsidP="00CF7C92">
            <w:pPr>
              <w:pStyle w:val="CambriaNormal"/>
              <w:jc w:val="left"/>
            </w:pPr>
            <w:proofErr w:type="spellStart"/>
            <w:r w:rsidRPr="00F653B5">
              <w:t>FBwT</w:t>
            </w:r>
            <w:proofErr w:type="spellEnd"/>
          </w:p>
        </w:tc>
        <w:tc>
          <w:tcPr>
            <w:tcW w:w="7290" w:type="dxa"/>
          </w:tcPr>
          <w:p w14:paraId="5190FB3F" w14:textId="77777777" w:rsidR="00C60087" w:rsidRPr="000C50CC" w:rsidRDefault="00C60087" w:rsidP="00CF7C92">
            <w:pPr>
              <w:pStyle w:val="CambriaNormal"/>
              <w:jc w:val="left"/>
            </w:pPr>
            <w:r w:rsidRPr="000C50CC">
              <w:t>Fund Balance with Treasury</w:t>
            </w:r>
          </w:p>
        </w:tc>
      </w:tr>
      <w:tr w:rsidR="00C60087" w:rsidRPr="000C50CC" w14:paraId="0921CA55" w14:textId="77777777" w:rsidTr="00BC03F5">
        <w:trPr>
          <w:trHeight w:hRule="exact" w:val="555"/>
        </w:trPr>
        <w:tc>
          <w:tcPr>
            <w:tcW w:w="2070" w:type="dxa"/>
          </w:tcPr>
          <w:p w14:paraId="40FEA1F7" w14:textId="77777777" w:rsidR="00C60087" w:rsidRPr="00F653B5" w:rsidRDefault="00C60087" w:rsidP="00CF7C92">
            <w:pPr>
              <w:pStyle w:val="CambriaNormal"/>
              <w:jc w:val="left"/>
            </w:pPr>
            <w:r w:rsidRPr="00F653B5">
              <w:t>FEGLI</w:t>
            </w:r>
          </w:p>
        </w:tc>
        <w:tc>
          <w:tcPr>
            <w:tcW w:w="7290" w:type="dxa"/>
          </w:tcPr>
          <w:p w14:paraId="039869DC" w14:textId="77777777" w:rsidR="00C60087" w:rsidRPr="000C50CC" w:rsidRDefault="00C60087" w:rsidP="00CF7C92">
            <w:pPr>
              <w:pStyle w:val="CambriaNormal"/>
              <w:jc w:val="left"/>
            </w:pPr>
            <w:r w:rsidRPr="000C50CC">
              <w:t>Federal Employees Group Life Insurance</w:t>
            </w:r>
            <w:r w:rsidRPr="000C50CC" w:rsidDel="00BD6B54">
              <w:t xml:space="preserve"> </w:t>
            </w:r>
          </w:p>
        </w:tc>
      </w:tr>
      <w:tr w:rsidR="00C60087" w:rsidRPr="000C50CC" w14:paraId="6F929D2A" w14:textId="77777777" w:rsidTr="00BC03F5">
        <w:trPr>
          <w:trHeight w:hRule="exact" w:val="555"/>
        </w:trPr>
        <w:tc>
          <w:tcPr>
            <w:tcW w:w="2070" w:type="dxa"/>
          </w:tcPr>
          <w:p w14:paraId="705BD533" w14:textId="77777777" w:rsidR="00C60087" w:rsidRPr="00F653B5" w:rsidRDefault="00C60087" w:rsidP="00CF7C92">
            <w:pPr>
              <w:pStyle w:val="CambriaNormal"/>
              <w:jc w:val="left"/>
            </w:pPr>
            <w:r w:rsidRPr="00F653B5">
              <w:t>FERS</w:t>
            </w:r>
          </w:p>
        </w:tc>
        <w:tc>
          <w:tcPr>
            <w:tcW w:w="7290" w:type="dxa"/>
          </w:tcPr>
          <w:p w14:paraId="0E0EF9D2" w14:textId="77777777" w:rsidR="00C60087" w:rsidRPr="000C50CC" w:rsidRDefault="00C60087" w:rsidP="00CF7C92">
            <w:pPr>
              <w:pStyle w:val="CambriaNormal"/>
              <w:jc w:val="left"/>
            </w:pPr>
            <w:r w:rsidRPr="000C50CC">
              <w:t>Federal Employees Retirement System</w:t>
            </w:r>
            <w:r w:rsidRPr="000C50CC" w:rsidDel="00BD6B54">
              <w:t xml:space="preserve"> </w:t>
            </w:r>
          </w:p>
        </w:tc>
      </w:tr>
      <w:tr w:rsidR="008F7305" w:rsidRPr="000C50CC" w14:paraId="6F3D4F2F" w14:textId="77777777" w:rsidTr="00BC03F5">
        <w:trPr>
          <w:trHeight w:hRule="exact" w:val="555"/>
        </w:trPr>
        <w:tc>
          <w:tcPr>
            <w:tcW w:w="2070" w:type="dxa"/>
          </w:tcPr>
          <w:p w14:paraId="3FFE01B6" w14:textId="7E0F6FB9" w:rsidR="008F7305" w:rsidRPr="00F653B5" w:rsidRDefault="008F7305" w:rsidP="00CF7C92">
            <w:pPr>
              <w:pStyle w:val="CambriaNormal"/>
              <w:jc w:val="left"/>
            </w:pPr>
            <w:r>
              <w:t>FERS-FRAE</w:t>
            </w:r>
          </w:p>
        </w:tc>
        <w:tc>
          <w:tcPr>
            <w:tcW w:w="7290" w:type="dxa"/>
          </w:tcPr>
          <w:p w14:paraId="0E946D99" w14:textId="5821637B" w:rsidR="008F7305" w:rsidRPr="00B70D5D" w:rsidRDefault="008F7305" w:rsidP="00CF7C92">
            <w:pPr>
              <w:pStyle w:val="CambriaNormal"/>
              <w:jc w:val="left"/>
            </w:pPr>
            <w:r w:rsidRPr="000C50CC">
              <w:t>Federal Employees Retirement System</w:t>
            </w:r>
            <w:r w:rsidR="00C92B5F">
              <w:t>-</w:t>
            </w:r>
            <w:r w:rsidRPr="008F7305">
              <w:t>Further Revised Annuity Employees</w:t>
            </w:r>
          </w:p>
        </w:tc>
      </w:tr>
      <w:tr w:rsidR="008F7305" w:rsidRPr="000C50CC" w14:paraId="41BE15FD" w14:textId="77777777" w:rsidTr="00BC03F5">
        <w:trPr>
          <w:trHeight w:hRule="exact" w:val="555"/>
        </w:trPr>
        <w:tc>
          <w:tcPr>
            <w:tcW w:w="2070" w:type="dxa"/>
          </w:tcPr>
          <w:p w14:paraId="2AD72D26" w14:textId="70D17BF5" w:rsidR="008F7305" w:rsidRPr="00F653B5" w:rsidRDefault="008F7305" w:rsidP="00CF7C92">
            <w:pPr>
              <w:pStyle w:val="CambriaNormal"/>
              <w:jc w:val="left"/>
            </w:pPr>
            <w:r>
              <w:t>FERS-RAE</w:t>
            </w:r>
          </w:p>
        </w:tc>
        <w:tc>
          <w:tcPr>
            <w:tcW w:w="7290" w:type="dxa"/>
          </w:tcPr>
          <w:p w14:paraId="1BEBD7AF" w14:textId="403CE44D" w:rsidR="008F7305" w:rsidRPr="00B70D5D" w:rsidRDefault="008F7305" w:rsidP="00CF7C92">
            <w:pPr>
              <w:pStyle w:val="CambriaNormal"/>
              <w:jc w:val="left"/>
            </w:pPr>
            <w:r w:rsidRPr="000C50CC">
              <w:t>Federal Employees Retirement System</w:t>
            </w:r>
            <w:r>
              <w:t>-</w:t>
            </w:r>
            <w:r w:rsidRPr="008F7305">
              <w:t>Revised Annuity Employees</w:t>
            </w:r>
          </w:p>
        </w:tc>
      </w:tr>
      <w:tr w:rsidR="00B70D5D" w:rsidRPr="000C50CC" w14:paraId="6A879E4C" w14:textId="77777777" w:rsidTr="00BC03F5">
        <w:trPr>
          <w:trHeight w:hRule="exact" w:val="555"/>
        </w:trPr>
        <w:tc>
          <w:tcPr>
            <w:tcW w:w="2070" w:type="dxa"/>
          </w:tcPr>
          <w:p w14:paraId="48F0F775" w14:textId="370605B2" w:rsidR="00B70D5D" w:rsidRPr="00F653B5" w:rsidRDefault="00B70D5D" w:rsidP="00CF7C92">
            <w:pPr>
              <w:pStyle w:val="CambriaNormal"/>
              <w:jc w:val="left"/>
            </w:pPr>
            <w:r w:rsidRPr="00F653B5">
              <w:lastRenderedPageBreak/>
              <w:t>FEVS</w:t>
            </w:r>
          </w:p>
        </w:tc>
        <w:tc>
          <w:tcPr>
            <w:tcW w:w="7290" w:type="dxa"/>
          </w:tcPr>
          <w:p w14:paraId="5F5211F4" w14:textId="699336FF" w:rsidR="00B70D5D" w:rsidRPr="000C50CC" w:rsidRDefault="00B70D5D" w:rsidP="00CF7C92">
            <w:pPr>
              <w:pStyle w:val="CambriaNormal"/>
              <w:jc w:val="left"/>
            </w:pPr>
            <w:r w:rsidRPr="00B70D5D">
              <w:t>Federal Employee Viewpoint Survey</w:t>
            </w:r>
          </w:p>
        </w:tc>
      </w:tr>
      <w:tr w:rsidR="00C60087" w:rsidRPr="000C50CC" w14:paraId="24E63570" w14:textId="77777777" w:rsidTr="00BC03F5">
        <w:trPr>
          <w:trHeight w:hRule="exact" w:val="555"/>
        </w:trPr>
        <w:tc>
          <w:tcPr>
            <w:tcW w:w="2070" w:type="dxa"/>
          </w:tcPr>
          <w:p w14:paraId="66A45715" w14:textId="77777777" w:rsidR="00C60087" w:rsidRPr="00F653B5" w:rsidRDefault="00C60087" w:rsidP="00CF7C92">
            <w:pPr>
              <w:pStyle w:val="CambriaNormal"/>
              <w:jc w:val="left"/>
            </w:pPr>
            <w:r w:rsidRPr="00F653B5">
              <w:t>FISA</w:t>
            </w:r>
          </w:p>
        </w:tc>
        <w:tc>
          <w:tcPr>
            <w:tcW w:w="7290" w:type="dxa"/>
          </w:tcPr>
          <w:p w14:paraId="49ADA02A" w14:textId="77777777" w:rsidR="00C60087" w:rsidRPr="000C50CC" w:rsidRDefault="00C60087" w:rsidP="00CF7C92">
            <w:pPr>
              <w:pStyle w:val="CambriaNormal"/>
              <w:jc w:val="left"/>
            </w:pPr>
            <w:bookmarkStart w:id="153" w:name="_Hlk55828280"/>
            <w:r w:rsidRPr="000C50CC">
              <w:t>Foreign Intelligence Surveillance Act</w:t>
            </w:r>
            <w:bookmarkEnd w:id="153"/>
          </w:p>
        </w:tc>
      </w:tr>
      <w:tr w:rsidR="00C60087" w:rsidRPr="000C50CC" w14:paraId="62F5A2B5" w14:textId="77777777" w:rsidTr="00BC03F5">
        <w:trPr>
          <w:trHeight w:hRule="exact" w:val="555"/>
        </w:trPr>
        <w:tc>
          <w:tcPr>
            <w:tcW w:w="2070" w:type="dxa"/>
          </w:tcPr>
          <w:p w14:paraId="2E9CDCC9" w14:textId="77777777" w:rsidR="00C60087" w:rsidRPr="00F653B5" w:rsidRDefault="00C60087" w:rsidP="00CF7C92">
            <w:pPr>
              <w:pStyle w:val="CambriaNormal"/>
              <w:jc w:val="left"/>
            </w:pPr>
            <w:r w:rsidRPr="00F653B5">
              <w:t>FISMA</w:t>
            </w:r>
          </w:p>
        </w:tc>
        <w:tc>
          <w:tcPr>
            <w:tcW w:w="7290" w:type="dxa"/>
          </w:tcPr>
          <w:p w14:paraId="52CECF5A" w14:textId="15AB4FCC" w:rsidR="00C60087" w:rsidRPr="000C50CC" w:rsidRDefault="00C60087" w:rsidP="00CF7C92">
            <w:pPr>
              <w:pStyle w:val="CambriaNormal"/>
              <w:jc w:val="left"/>
            </w:pPr>
            <w:r w:rsidRPr="000C50CC">
              <w:t xml:space="preserve">Federal Information Security </w:t>
            </w:r>
            <w:r w:rsidR="00786F8C">
              <w:t>Modernization</w:t>
            </w:r>
            <w:r w:rsidR="00786F8C" w:rsidRPr="000C50CC">
              <w:t xml:space="preserve"> </w:t>
            </w:r>
            <w:r w:rsidRPr="000C50CC">
              <w:t>Act</w:t>
            </w:r>
          </w:p>
        </w:tc>
      </w:tr>
      <w:tr w:rsidR="00C60087" w:rsidRPr="000C50CC" w14:paraId="34803768" w14:textId="77777777" w:rsidTr="00BC03F5">
        <w:trPr>
          <w:trHeight w:hRule="exact" w:val="555"/>
        </w:trPr>
        <w:tc>
          <w:tcPr>
            <w:tcW w:w="2070" w:type="dxa"/>
          </w:tcPr>
          <w:p w14:paraId="046FF2FE" w14:textId="77777777" w:rsidR="00C60087" w:rsidRPr="00F653B5" w:rsidRDefault="00C60087" w:rsidP="00CF7C92">
            <w:pPr>
              <w:pStyle w:val="CambriaNormal"/>
              <w:jc w:val="left"/>
            </w:pPr>
            <w:r w:rsidRPr="00F653B5">
              <w:t>FMFIA</w:t>
            </w:r>
          </w:p>
        </w:tc>
        <w:tc>
          <w:tcPr>
            <w:tcW w:w="7290" w:type="dxa"/>
          </w:tcPr>
          <w:p w14:paraId="55C9A9B4" w14:textId="035D1689" w:rsidR="00C60087" w:rsidRPr="000C50CC" w:rsidRDefault="00C60087" w:rsidP="00CF7C92">
            <w:pPr>
              <w:pStyle w:val="CambriaNormal"/>
              <w:jc w:val="left"/>
            </w:pPr>
            <w:r w:rsidRPr="000C50CC">
              <w:t>Federal Managers’ Financial Integrity Act</w:t>
            </w:r>
            <w:r w:rsidR="00D877A2">
              <w:t xml:space="preserve"> of 1982</w:t>
            </w:r>
          </w:p>
        </w:tc>
      </w:tr>
      <w:tr w:rsidR="00B51430" w:rsidRPr="000C50CC" w14:paraId="082D833F" w14:textId="77777777" w:rsidTr="00BC03F5">
        <w:trPr>
          <w:trHeight w:hRule="exact" w:val="555"/>
        </w:trPr>
        <w:tc>
          <w:tcPr>
            <w:tcW w:w="2070" w:type="dxa"/>
          </w:tcPr>
          <w:p w14:paraId="737DFE9B" w14:textId="2D1224E7" w:rsidR="00B51430" w:rsidRPr="00F653B5" w:rsidRDefault="00B51430" w:rsidP="00CF7C92">
            <w:pPr>
              <w:pStyle w:val="CambriaNormal"/>
              <w:jc w:val="left"/>
            </w:pPr>
            <w:r>
              <w:t>FRT</w:t>
            </w:r>
          </w:p>
        </w:tc>
        <w:tc>
          <w:tcPr>
            <w:tcW w:w="7290" w:type="dxa"/>
          </w:tcPr>
          <w:p w14:paraId="439D64B6" w14:textId="5A85F813" w:rsidR="00B51430" w:rsidRDefault="00B51430" w:rsidP="00CF7C92">
            <w:pPr>
              <w:pStyle w:val="CambriaNormal"/>
              <w:jc w:val="left"/>
              <w:rPr>
                <w:bCs/>
              </w:rPr>
            </w:pPr>
            <w:r>
              <w:rPr>
                <w:bCs/>
              </w:rPr>
              <w:t>Facial Recognition Technology</w:t>
            </w:r>
          </w:p>
        </w:tc>
      </w:tr>
      <w:tr w:rsidR="00C60087" w:rsidRPr="000C50CC" w14:paraId="6ACB3FEB" w14:textId="77777777" w:rsidTr="00BC03F5">
        <w:trPr>
          <w:trHeight w:hRule="exact" w:val="555"/>
        </w:trPr>
        <w:tc>
          <w:tcPr>
            <w:tcW w:w="2070" w:type="dxa"/>
          </w:tcPr>
          <w:p w14:paraId="7798B2CE" w14:textId="77777777" w:rsidR="00C60087" w:rsidRPr="00F653B5" w:rsidRDefault="00C60087" w:rsidP="00CF7C92">
            <w:pPr>
              <w:pStyle w:val="CambriaNormal"/>
              <w:jc w:val="left"/>
            </w:pPr>
            <w:r w:rsidRPr="00F653B5">
              <w:t>FY</w:t>
            </w:r>
          </w:p>
        </w:tc>
        <w:tc>
          <w:tcPr>
            <w:tcW w:w="7290" w:type="dxa"/>
          </w:tcPr>
          <w:p w14:paraId="381077A8" w14:textId="77777777" w:rsidR="00C60087" w:rsidRPr="000C50CC" w:rsidRDefault="00C60087" w:rsidP="00CF7C92">
            <w:pPr>
              <w:pStyle w:val="CambriaNormal"/>
              <w:jc w:val="left"/>
            </w:pPr>
            <w:r w:rsidRPr="000C50CC">
              <w:t>Fiscal Year</w:t>
            </w:r>
          </w:p>
        </w:tc>
      </w:tr>
      <w:tr w:rsidR="00C60087" w:rsidRPr="000C50CC" w14:paraId="20A897B0" w14:textId="77777777" w:rsidTr="00BC03F5">
        <w:trPr>
          <w:trHeight w:hRule="exact" w:val="555"/>
        </w:trPr>
        <w:tc>
          <w:tcPr>
            <w:tcW w:w="2070" w:type="dxa"/>
          </w:tcPr>
          <w:p w14:paraId="12601D0D" w14:textId="77777777" w:rsidR="00C60087" w:rsidRPr="00F653B5" w:rsidRDefault="00C60087" w:rsidP="00CF7C92">
            <w:pPr>
              <w:pStyle w:val="CambriaNormal"/>
              <w:jc w:val="left"/>
            </w:pPr>
            <w:r w:rsidRPr="00F653B5">
              <w:t>GAAP</w:t>
            </w:r>
          </w:p>
        </w:tc>
        <w:tc>
          <w:tcPr>
            <w:tcW w:w="7290" w:type="dxa"/>
          </w:tcPr>
          <w:p w14:paraId="0C4726CF" w14:textId="77777777" w:rsidR="00C60087" w:rsidRPr="000C50CC" w:rsidRDefault="00C60087" w:rsidP="00CF7C92">
            <w:pPr>
              <w:pStyle w:val="CambriaNormal"/>
              <w:jc w:val="left"/>
            </w:pPr>
            <w:r w:rsidRPr="000C50CC">
              <w:t>Generally Accepted Accounting Principles</w:t>
            </w:r>
          </w:p>
        </w:tc>
      </w:tr>
      <w:tr w:rsidR="00C60087" w:rsidRPr="000C50CC" w14:paraId="40FC2234" w14:textId="77777777" w:rsidTr="00BC03F5">
        <w:trPr>
          <w:trHeight w:hRule="exact" w:val="555"/>
        </w:trPr>
        <w:tc>
          <w:tcPr>
            <w:tcW w:w="2070" w:type="dxa"/>
          </w:tcPr>
          <w:p w14:paraId="7ECFEF29" w14:textId="77777777" w:rsidR="00C60087" w:rsidRPr="00F653B5" w:rsidRDefault="00C60087" w:rsidP="00CF7C92">
            <w:pPr>
              <w:pStyle w:val="CambriaNormal"/>
              <w:jc w:val="left"/>
            </w:pPr>
            <w:r w:rsidRPr="00F653B5">
              <w:t>GAO</w:t>
            </w:r>
          </w:p>
        </w:tc>
        <w:tc>
          <w:tcPr>
            <w:tcW w:w="7290" w:type="dxa"/>
          </w:tcPr>
          <w:p w14:paraId="0A16E8E4" w14:textId="0595B971" w:rsidR="00C60087" w:rsidRPr="000C50CC" w:rsidRDefault="00C60087" w:rsidP="00CF7C92">
            <w:pPr>
              <w:pStyle w:val="CambriaNormal"/>
              <w:jc w:val="left"/>
            </w:pPr>
            <w:r w:rsidRPr="000C50CC">
              <w:t>U</w:t>
            </w:r>
            <w:r w:rsidR="00746D79">
              <w:t>nited States</w:t>
            </w:r>
            <w:r w:rsidRPr="000C50CC">
              <w:t xml:space="preserve"> Government Accountability Office</w:t>
            </w:r>
          </w:p>
          <w:p w14:paraId="2BF12302" w14:textId="77777777" w:rsidR="00C60087" w:rsidRPr="000C50CC" w:rsidRDefault="00C60087" w:rsidP="00CF7C92">
            <w:pPr>
              <w:pStyle w:val="CambriaNormal"/>
              <w:jc w:val="left"/>
            </w:pPr>
          </w:p>
          <w:p w14:paraId="5CD8D5B2" w14:textId="77777777" w:rsidR="00C60087" w:rsidRPr="000C50CC" w:rsidRDefault="00C60087" w:rsidP="00CF7C92">
            <w:pPr>
              <w:pStyle w:val="CambriaNormal"/>
              <w:jc w:val="left"/>
            </w:pPr>
          </w:p>
          <w:p w14:paraId="058B02EE" w14:textId="77777777" w:rsidR="00C60087" w:rsidRPr="000C50CC" w:rsidRDefault="00C60087" w:rsidP="00CF7C92">
            <w:pPr>
              <w:pStyle w:val="CambriaNormal"/>
              <w:jc w:val="left"/>
            </w:pPr>
          </w:p>
        </w:tc>
      </w:tr>
      <w:tr w:rsidR="00C60087" w:rsidRPr="000C50CC" w14:paraId="4C741F11" w14:textId="77777777" w:rsidTr="00BC03F5">
        <w:trPr>
          <w:trHeight w:hRule="exact" w:val="555"/>
        </w:trPr>
        <w:tc>
          <w:tcPr>
            <w:tcW w:w="2070" w:type="dxa"/>
          </w:tcPr>
          <w:p w14:paraId="23B8F225" w14:textId="77777777" w:rsidR="00C60087" w:rsidRPr="00F653B5" w:rsidRDefault="00C60087" w:rsidP="00CF7C92">
            <w:pPr>
              <w:pStyle w:val="CambriaNormal"/>
              <w:jc w:val="left"/>
            </w:pPr>
            <w:r w:rsidRPr="00F653B5">
              <w:t>GPRA</w:t>
            </w:r>
          </w:p>
        </w:tc>
        <w:tc>
          <w:tcPr>
            <w:tcW w:w="7290" w:type="dxa"/>
          </w:tcPr>
          <w:p w14:paraId="092E3356" w14:textId="77777777" w:rsidR="00C60087" w:rsidRPr="000C50CC" w:rsidRDefault="00C60087" w:rsidP="00CF7C92">
            <w:pPr>
              <w:pStyle w:val="CambriaNormal"/>
              <w:jc w:val="left"/>
            </w:pPr>
            <w:r w:rsidRPr="000C50CC">
              <w:t>Government Performance and Results Act</w:t>
            </w:r>
          </w:p>
        </w:tc>
      </w:tr>
      <w:tr w:rsidR="00786F8C" w:rsidRPr="000C50CC" w14:paraId="594936F7" w14:textId="77777777" w:rsidTr="00786F8C">
        <w:trPr>
          <w:trHeight w:hRule="exact" w:val="555"/>
        </w:trPr>
        <w:tc>
          <w:tcPr>
            <w:tcW w:w="2070" w:type="dxa"/>
          </w:tcPr>
          <w:p w14:paraId="6A13BAC3" w14:textId="43F29B10" w:rsidR="00786F8C" w:rsidRPr="00F653B5" w:rsidRDefault="00786F8C" w:rsidP="00CF7C92">
            <w:pPr>
              <w:pStyle w:val="CambriaNormal"/>
              <w:jc w:val="left"/>
            </w:pPr>
            <w:r>
              <w:t>IBC</w:t>
            </w:r>
          </w:p>
        </w:tc>
        <w:tc>
          <w:tcPr>
            <w:tcW w:w="7290" w:type="dxa"/>
          </w:tcPr>
          <w:p w14:paraId="11F0ADD3" w14:textId="521A044F" w:rsidR="00786F8C" w:rsidRPr="000C50CC" w:rsidRDefault="00786F8C" w:rsidP="00CF7C92">
            <w:pPr>
              <w:pStyle w:val="CambriaNormal"/>
              <w:jc w:val="left"/>
            </w:pPr>
            <w:r>
              <w:t>Interior Business Center</w:t>
            </w:r>
          </w:p>
        </w:tc>
      </w:tr>
      <w:tr w:rsidR="00C60087" w:rsidRPr="000C50CC" w14:paraId="7078732C" w14:textId="77777777" w:rsidTr="00BC03F5">
        <w:trPr>
          <w:trHeight w:hRule="exact" w:val="555"/>
        </w:trPr>
        <w:tc>
          <w:tcPr>
            <w:tcW w:w="2070" w:type="dxa"/>
          </w:tcPr>
          <w:p w14:paraId="690A69CC" w14:textId="77777777" w:rsidR="00C60087" w:rsidRPr="00F653B5" w:rsidRDefault="00C60087" w:rsidP="00CF7C92">
            <w:pPr>
              <w:pStyle w:val="CambriaNormal"/>
              <w:jc w:val="left"/>
            </w:pPr>
            <w:r w:rsidRPr="00F653B5">
              <w:t>ICF</w:t>
            </w:r>
          </w:p>
        </w:tc>
        <w:tc>
          <w:tcPr>
            <w:tcW w:w="7290" w:type="dxa"/>
          </w:tcPr>
          <w:p w14:paraId="4F89B1D7" w14:textId="77777777" w:rsidR="00C60087" w:rsidRPr="000C50CC" w:rsidRDefault="00C60087" w:rsidP="00CF7C92">
            <w:pPr>
              <w:pStyle w:val="CambriaNormal"/>
              <w:jc w:val="left"/>
            </w:pPr>
            <w:r w:rsidRPr="000C50CC">
              <w:t>Internal Controls Framework</w:t>
            </w:r>
          </w:p>
        </w:tc>
      </w:tr>
      <w:tr w:rsidR="00C60087" w:rsidRPr="000C50CC" w14:paraId="26A6BD13" w14:textId="77777777" w:rsidTr="00BC03F5">
        <w:trPr>
          <w:trHeight w:hRule="exact" w:val="555"/>
        </w:trPr>
        <w:tc>
          <w:tcPr>
            <w:tcW w:w="2070" w:type="dxa"/>
          </w:tcPr>
          <w:p w14:paraId="57E758AB" w14:textId="77777777" w:rsidR="00C60087" w:rsidRPr="00F653B5" w:rsidRDefault="00C60087" w:rsidP="00CF7C92">
            <w:pPr>
              <w:pStyle w:val="CambriaNormal"/>
              <w:jc w:val="left"/>
            </w:pPr>
            <w:r w:rsidRPr="00F653B5">
              <w:t>IPAC</w:t>
            </w:r>
          </w:p>
        </w:tc>
        <w:tc>
          <w:tcPr>
            <w:tcW w:w="7290" w:type="dxa"/>
          </w:tcPr>
          <w:p w14:paraId="6141715C" w14:textId="77777777" w:rsidR="00C60087" w:rsidRPr="000C50CC" w:rsidRDefault="00C60087" w:rsidP="00CF7C92">
            <w:pPr>
              <w:pStyle w:val="CambriaNormal"/>
              <w:jc w:val="left"/>
            </w:pPr>
            <w:r w:rsidRPr="000C50CC">
              <w:t>Intra-Governmental Payment and Collection</w:t>
            </w:r>
          </w:p>
        </w:tc>
      </w:tr>
      <w:tr w:rsidR="004F08BD" w:rsidRPr="000C50CC" w14:paraId="3645A124" w14:textId="77777777" w:rsidTr="00BC03F5">
        <w:trPr>
          <w:trHeight w:hRule="exact" w:val="555"/>
        </w:trPr>
        <w:tc>
          <w:tcPr>
            <w:tcW w:w="2070" w:type="dxa"/>
          </w:tcPr>
          <w:p w14:paraId="06DF16F0" w14:textId="005AAAF6" w:rsidR="004F08BD" w:rsidRPr="00F653B5" w:rsidRDefault="004F08BD" w:rsidP="00CF7C92">
            <w:pPr>
              <w:pStyle w:val="CambriaNormal"/>
              <w:jc w:val="left"/>
            </w:pPr>
            <w:r>
              <w:t>IPP</w:t>
            </w:r>
          </w:p>
        </w:tc>
        <w:tc>
          <w:tcPr>
            <w:tcW w:w="7290" w:type="dxa"/>
          </w:tcPr>
          <w:p w14:paraId="377FA0B9" w14:textId="4E37CB76" w:rsidR="004F08BD" w:rsidRPr="000C50CC" w:rsidRDefault="004F08BD" w:rsidP="00CF7C92">
            <w:pPr>
              <w:pStyle w:val="CambriaNormal"/>
              <w:jc w:val="left"/>
            </w:pPr>
            <w:r>
              <w:t>Invoice Processing Platform</w:t>
            </w:r>
          </w:p>
        </w:tc>
      </w:tr>
      <w:tr w:rsidR="00350714" w:rsidRPr="000C50CC" w14:paraId="7BDC6AA6" w14:textId="77777777" w:rsidTr="00BC03F5">
        <w:trPr>
          <w:trHeight w:hRule="exact" w:val="555"/>
        </w:trPr>
        <w:tc>
          <w:tcPr>
            <w:tcW w:w="2070" w:type="dxa"/>
          </w:tcPr>
          <w:p w14:paraId="1AEFEA66" w14:textId="5EE482E7" w:rsidR="00350714" w:rsidRPr="00F653B5" w:rsidRDefault="00350714" w:rsidP="00CF7C92">
            <w:pPr>
              <w:pStyle w:val="CambriaNormal"/>
              <w:jc w:val="left"/>
            </w:pPr>
            <w:r>
              <w:t>IPv6</w:t>
            </w:r>
          </w:p>
        </w:tc>
        <w:tc>
          <w:tcPr>
            <w:tcW w:w="7290" w:type="dxa"/>
          </w:tcPr>
          <w:p w14:paraId="0100196F" w14:textId="3B0CCA2D" w:rsidR="00350714" w:rsidRPr="000C50CC" w:rsidRDefault="00350714" w:rsidP="00CF7C92">
            <w:pPr>
              <w:pStyle w:val="CambriaNormal"/>
              <w:jc w:val="left"/>
            </w:pPr>
            <w:r>
              <w:t>Internet Protocol Version 6</w:t>
            </w:r>
          </w:p>
        </w:tc>
      </w:tr>
      <w:tr w:rsidR="00C60087" w:rsidRPr="000C50CC" w14:paraId="70559794" w14:textId="77777777" w:rsidTr="00BC03F5">
        <w:trPr>
          <w:trHeight w:hRule="exact" w:val="555"/>
        </w:trPr>
        <w:tc>
          <w:tcPr>
            <w:tcW w:w="2070" w:type="dxa"/>
          </w:tcPr>
          <w:p w14:paraId="65B055E5" w14:textId="77777777" w:rsidR="00C60087" w:rsidRPr="00F653B5" w:rsidRDefault="00C60087" w:rsidP="00CF7C92">
            <w:pPr>
              <w:pStyle w:val="CambriaNormal"/>
              <w:jc w:val="left"/>
            </w:pPr>
            <w:r w:rsidRPr="00F653B5">
              <w:t>IT</w:t>
            </w:r>
          </w:p>
        </w:tc>
        <w:tc>
          <w:tcPr>
            <w:tcW w:w="7290" w:type="dxa"/>
          </w:tcPr>
          <w:p w14:paraId="38DC23C9" w14:textId="77777777" w:rsidR="00C60087" w:rsidRPr="000C50CC" w:rsidRDefault="00C60087" w:rsidP="00CF7C92">
            <w:pPr>
              <w:pStyle w:val="CambriaNormal"/>
              <w:jc w:val="left"/>
            </w:pPr>
            <w:r w:rsidRPr="000C50CC">
              <w:t>Information Technology</w:t>
            </w:r>
          </w:p>
        </w:tc>
      </w:tr>
      <w:tr w:rsidR="00C60087" w:rsidRPr="000C50CC" w14:paraId="0F01C8F2" w14:textId="77777777" w:rsidTr="00BC03F5">
        <w:trPr>
          <w:trHeight w:hRule="exact" w:val="555"/>
        </w:trPr>
        <w:tc>
          <w:tcPr>
            <w:tcW w:w="2070" w:type="dxa"/>
          </w:tcPr>
          <w:p w14:paraId="1EA5067F" w14:textId="77777777" w:rsidR="00C60087" w:rsidRPr="00F653B5" w:rsidRDefault="00C60087" w:rsidP="00CF7C92">
            <w:pPr>
              <w:pStyle w:val="CambriaNormal"/>
              <w:jc w:val="left"/>
            </w:pPr>
            <w:r w:rsidRPr="00F653B5">
              <w:t>NCTC</w:t>
            </w:r>
          </w:p>
        </w:tc>
        <w:tc>
          <w:tcPr>
            <w:tcW w:w="7290" w:type="dxa"/>
          </w:tcPr>
          <w:p w14:paraId="3BF7082F" w14:textId="77777777" w:rsidR="00C60087" w:rsidRPr="000C50CC" w:rsidRDefault="00C60087" w:rsidP="00CF7C92">
            <w:pPr>
              <w:pStyle w:val="CambriaNormal"/>
              <w:jc w:val="left"/>
            </w:pPr>
            <w:r w:rsidRPr="00870D18">
              <w:rPr>
                <w:bCs/>
              </w:rPr>
              <w:t>National Counterterrorism Center</w:t>
            </w:r>
          </w:p>
        </w:tc>
      </w:tr>
      <w:tr w:rsidR="00C60087" w:rsidRPr="000C50CC" w14:paraId="0BC462EA" w14:textId="77777777" w:rsidTr="00BC03F5">
        <w:trPr>
          <w:trHeight w:hRule="exact" w:val="555"/>
        </w:trPr>
        <w:tc>
          <w:tcPr>
            <w:tcW w:w="2070" w:type="dxa"/>
          </w:tcPr>
          <w:p w14:paraId="3D32292E" w14:textId="77777777" w:rsidR="00C60087" w:rsidRPr="00F653B5" w:rsidRDefault="00C60087" w:rsidP="00CF7C92">
            <w:pPr>
              <w:pStyle w:val="CambriaNormal"/>
              <w:jc w:val="left"/>
            </w:pPr>
            <w:r w:rsidRPr="00F653B5">
              <w:t>NIST</w:t>
            </w:r>
          </w:p>
        </w:tc>
        <w:tc>
          <w:tcPr>
            <w:tcW w:w="7290" w:type="dxa"/>
          </w:tcPr>
          <w:p w14:paraId="4862A799" w14:textId="77777777" w:rsidR="00C60087" w:rsidRPr="00870D18" w:rsidRDefault="00C60087" w:rsidP="00CF7C92">
            <w:pPr>
              <w:pStyle w:val="CambriaNormal"/>
              <w:jc w:val="left"/>
              <w:rPr>
                <w:bCs/>
              </w:rPr>
            </w:pPr>
            <w:r w:rsidRPr="00721365">
              <w:rPr>
                <w:bCs/>
              </w:rPr>
              <w:t>National Institute of Standards and Technology</w:t>
            </w:r>
          </w:p>
        </w:tc>
      </w:tr>
      <w:tr w:rsidR="00C60087" w:rsidRPr="000C50CC" w14:paraId="5994FEB6" w14:textId="77777777" w:rsidTr="00BC03F5">
        <w:trPr>
          <w:trHeight w:hRule="exact" w:val="555"/>
        </w:trPr>
        <w:tc>
          <w:tcPr>
            <w:tcW w:w="2070" w:type="dxa"/>
          </w:tcPr>
          <w:p w14:paraId="0D310791" w14:textId="77777777" w:rsidR="00C60087" w:rsidRPr="00F653B5" w:rsidRDefault="00C60087" w:rsidP="00CF7C92">
            <w:pPr>
              <w:pStyle w:val="CambriaNormal"/>
              <w:jc w:val="left"/>
            </w:pPr>
            <w:r w:rsidRPr="00F653B5">
              <w:t>OCFO</w:t>
            </w:r>
          </w:p>
        </w:tc>
        <w:tc>
          <w:tcPr>
            <w:tcW w:w="7290" w:type="dxa"/>
          </w:tcPr>
          <w:p w14:paraId="2CFBF93A" w14:textId="77777777" w:rsidR="00C60087" w:rsidRPr="00870D18" w:rsidRDefault="00C60087" w:rsidP="00CF7C92">
            <w:pPr>
              <w:pStyle w:val="CambriaNormal"/>
              <w:jc w:val="left"/>
              <w:rPr>
                <w:bCs/>
              </w:rPr>
            </w:pPr>
            <w:r w:rsidRPr="000C50CC">
              <w:t>Office of the Chief Financial Officer</w:t>
            </w:r>
          </w:p>
        </w:tc>
      </w:tr>
      <w:tr w:rsidR="00C60087" w:rsidRPr="000C50CC" w14:paraId="74D7D9D6" w14:textId="77777777" w:rsidTr="00BC03F5">
        <w:trPr>
          <w:trHeight w:hRule="exact" w:val="555"/>
        </w:trPr>
        <w:tc>
          <w:tcPr>
            <w:tcW w:w="2070" w:type="dxa"/>
          </w:tcPr>
          <w:p w14:paraId="42A743C0" w14:textId="77777777" w:rsidR="00C60087" w:rsidRPr="00F653B5" w:rsidRDefault="00C60087" w:rsidP="00CF7C92">
            <w:pPr>
              <w:pStyle w:val="CambriaNormal"/>
              <w:jc w:val="left"/>
            </w:pPr>
            <w:r w:rsidRPr="00F653B5">
              <w:t>OMB</w:t>
            </w:r>
          </w:p>
        </w:tc>
        <w:tc>
          <w:tcPr>
            <w:tcW w:w="7290" w:type="dxa"/>
          </w:tcPr>
          <w:p w14:paraId="25DEF132" w14:textId="77777777" w:rsidR="00C60087" w:rsidRPr="00870D18" w:rsidRDefault="00C60087" w:rsidP="00CF7C92">
            <w:pPr>
              <w:pStyle w:val="CambriaNormal"/>
              <w:jc w:val="left"/>
              <w:rPr>
                <w:bCs/>
              </w:rPr>
            </w:pPr>
            <w:r w:rsidRPr="000C50CC">
              <w:t>Office of Management and Budget</w:t>
            </w:r>
          </w:p>
        </w:tc>
      </w:tr>
      <w:tr w:rsidR="00C60087" w:rsidRPr="000C50CC" w14:paraId="29B8AE48" w14:textId="77777777" w:rsidTr="00BC03F5">
        <w:trPr>
          <w:trHeight w:hRule="exact" w:val="555"/>
        </w:trPr>
        <w:tc>
          <w:tcPr>
            <w:tcW w:w="2070" w:type="dxa"/>
          </w:tcPr>
          <w:p w14:paraId="17CCDC4F" w14:textId="77777777" w:rsidR="00C60087" w:rsidRPr="00F653B5" w:rsidRDefault="00C60087" w:rsidP="00CF7C92">
            <w:pPr>
              <w:pStyle w:val="CambriaNormal"/>
              <w:jc w:val="left"/>
            </w:pPr>
            <w:r w:rsidRPr="00F653B5">
              <w:t>OPM</w:t>
            </w:r>
          </w:p>
        </w:tc>
        <w:tc>
          <w:tcPr>
            <w:tcW w:w="7290" w:type="dxa"/>
          </w:tcPr>
          <w:p w14:paraId="292C7607" w14:textId="77777777" w:rsidR="00C60087" w:rsidRPr="00870D18" w:rsidRDefault="00C60087" w:rsidP="00CF7C92">
            <w:pPr>
              <w:pStyle w:val="CambriaNormal"/>
              <w:jc w:val="left"/>
              <w:rPr>
                <w:bCs/>
              </w:rPr>
            </w:pPr>
            <w:r w:rsidRPr="000C50CC">
              <w:t>Office of Personnel Management</w:t>
            </w:r>
          </w:p>
        </w:tc>
      </w:tr>
      <w:tr w:rsidR="00FB1377" w:rsidRPr="000C50CC" w14:paraId="42BC6657" w14:textId="77777777" w:rsidTr="00BC03F5">
        <w:trPr>
          <w:trHeight w:hRule="exact" w:val="555"/>
        </w:trPr>
        <w:tc>
          <w:tcPr>
            <w:tcW w:w="2070" w:type="dxa"/>
          </w:tcPr>
          <w:p w14:paraId="5C163C82" w14:textId="6A4EB463" w:rsidR="00FB1377" w:rsidRPr="00F653B5" w:rsidRDefault="00FB1377" w:rsidP="00CF7C92">
            <w:pPr>
              <w:pStyle w:val="CambriaNormal"/>
              <w:jc w:val="left"/>
            </w:pPr>
            <w:r w:rsidRPr="00F653B5">
              <w:t>PIO</w:t>
            </w:r>
          </w:p>
        </w:tc>
        <w:tc>
          <w:tcPr>
            <w:tcW w:w="7290" w:type="dxa"/>
          </w:tcPr>
          <w:p w14:paraId="5C1C3F7C" w14:textId="36A48B5B" w:rsidR="00FB1377" w:rsidRPr="000C50CC" w:rsidRDefault="00FB1377" w:rsidP="00CF7C92">
            <w:pPr>
              <w:pStyle w:val="CambriaNormal"/>
              <w:jc w:val="left"/>
            </w:pPr>
            <w:r>
              <w:t>Performance Improvement Officer</w:t>
            </w:r>
          </w:p>
        </w:tc>
      </w:tr>
      <w:tr w:rsidR="00C60087" w:rsidRPr="000C50CC" w14:paraId="35A67881" w14:textId="77777777" w:rsidTr="00BC03F5">
        <w:trPr>
          <w:trHeight w:hRule="exact" w:val="555"/>
        </w:trPr>
        <w:tc>
          <w:tcPr>
            <w:tcW w:w="2070" w:type="dxa"/>
          </w:tcPr>
          <w:p w14:paraId="57D94C38" w14:textId="77777777" w:rsidR="00C60087" w:rsidRPr="00F653B5" w:rsidRDefault="00C60087" w:rsidP="00CF7C92">
            <w:pPr>
              <w:pStyle w:val="CambriaNormal"/>
              <w:jc w:val="left"/>
            </w:pPr>
            <w:r w:rsidRPr="00F653B5">
              <w:t>PCLOB</w:t>
            </w:r>
          </w:p>
        </w:tc>
        <w:tc>
          <w:tcPr>
            <w:tcW w:w="7290" w:type="dxa"/>
          </w:tcPr>
          <w:p w14:paraId="464DE712" w14:textId="77777777" w:rsidR="00C60087" w:rsidRPr="00870D18" w:rsidRDefault="00C60087" w:rsidP="00CF7C92">
            <w:pPr>
              <w:pStyle w:val="CambriaNormal"/>
              <w:jc w:val="left"/>
              <w:rPr>
                <w:bCs/>
              </w:rPr>
            </w:pPr>
            <w:r w:rsidRPr="000C50CC">
              <w:t>Privacy and Civil Liberties Oversight Board</w:t>
            </w:r>
          </w:p>
        </w:tc>
      </w:tr>
      <w:tr w:rsidR="00C60087" w:rsidRPr="000C50CC" w14:paraId="121D0B8A" w14:textId="77777777" w:rsidTr="00BC03F5">
        <w:trPr>
          <w:trHeight w:hRule="exact" w:val="555"/>
        </w:trPr>
        <w:tc>
          <w:tcPr>
            <w:tcW w:w="2070" w:type="dxa"/>
          </w:tcPr>
          <w:p w14:paraId="4E69B3F8" w14:textId="77777777" w:rsidR="00C60087" w:rsidRPr="00F653B5" w:rsidRDefault="00C60087" w:rsidP="00CF7C92">
            <w:pPr>
              <w:pStyle w:val="CambriaNormal"/>
              <w:jc w:val="left"/>
            </w:pPr>
            <w:r w:rsidRPr="00F653B5">
              <w:lastRenderedPageBreak/>
              <w:t>PIIA</w:t>
            </w:r>
          </w:p>
        </w:tc>
        <w:tc>
          <w:tcPr>
            <w:tcW w:w="7290" w:type="dxa"/>
          </w:tcPr>
          <w:p w14:paraId="482A1965" w14:textId="77777777" w:rsidR="00C60087" w:rsidRPr="00870D18" w:rsidRDefault="00C60087" w:rsidP="00CF7C92">
            <w:pPr>
              <w:pStyle w:val="CambriaNormal"/>
              <w:jc w:val="left"/>
              <w:rPr>
                <w:bCs/>
              </w:rPr>
            </w:pPr>
            <w:r w:rsidRPr="000C50CC">
              <w:t>Payment Integrity Information Act of 2019</w:t>
            </w:r>
          </w:p>
        </w:tc>
      </w:tr>
      <w:tr w:rsidR="00C560AC" w:rsidRPr="00F653B5" w14:paraId="4490E93C" w14:textId="77777777" w:rsidTr="00BC03F5">
        <w:trPr>
          <w:trHeight w:hRule="exact" w:val="555"/>
        </w:trPr>
        <w:tc>
          <w:tcPr>
            <w:tcW w:w="2070" w:type="dxa"/>
          </w:tcPr>
          <w:p w14:paraId="51D8D1E6" w14:textId="76E30793" w:rsidR="00C560AC" w:rsidRDefault="00C560AC" w:rsidP="00CF7C92">
            <w:pPr>
              <w:pStyle w:val="CambriaNormal"/>
              <w:jc w:val="left"/>
            </w:pPr>
            <w:r>
              <w:t>RAR</w:t>
            </w:r>
          </w:p>
        </w:tc>
        <w:tc>
          <w:tcPr>
            <w:tcW w:w="7290" w:type="dxa"/>
          </w:tcPr>
          <w:p w14:paraId="05F935C8" w14:textId="283B8E78" w:rsidR="00C560AC" w:rsidRPr="00C35661" w:rsidRDefault="00C560AC" w:rsidP="00CF7C92">
            <w:pPr>
              <w:pStyle w:val="CambriaNormal"/>
              <w:jc w:val="left"/>
            </w:pPr>
            <w:r>
              <w:t>Recommendations and Assessments Report</w:t>
            </w:r>
          </w:p>
        </w:tc>
      </w:tr>
      <w:tr w:rsidR="00C35661" w:rsidRPr="00F653B5" w14:paraId="08389A39" w14:textId="77777777" w:rsidTr="00BC03F5">
        <w:trPr>
          <w:trHeight w:hRule="exact" w:val="555"/>
        </w:trPr>
        <w:tc>
          <w:tcPr>
            <w:tcW w:w="2070" w:type="dxa"/>
          </w:tcPr>
          <w:p w14:paraId="2D5C3D58" w14:textId="190BFF99" w:rsidR="00C35661" w:rsidRPr="00F653B5" w:rsidRDefault="00C35661" w:rsidP="00CF7C92">
            <w:pPr>
              <w:pStyle w:val="CambriaNormal"/>
              <w:jc w:val="left"/>
            </w:pPr>
            <w:r>
              <w:t>RISAA</w:t>
            </w:r>
          </w:p>
        </w:tc>
        <w:tc>
          <w:tcPr>
            <w:tcW w:w="7290" w:type="dxa"/>
          </w:tcPr>
          <w:p w14:paraId="46AA241F" w14:textId="0F19ADC1" w:rsidR="00C35661" w:rsidRPr="00F653B5" w:rsidRDefault="00C35661" w:rsidP="00CF7C92">
            <w:pPr>
              <w:pStyle w:val="CambriaNormal"/>
              <w:jc w:val="left"/>
            </w:pPr>
            <w:r w:rsidRPr="00C35661">
              <w:t>Reforming Intelligence and Securing America Act</w:t>
            </w:r>
            <w:r w:rsidR="00E56FEF">
              <w:t xml:space="preserve"> of 2024</w:t>
            </w:r>
          </w:p>
        </w:tc>
      </w:tr>
      <w:tr w:rsidR="00C60087" w:rsidRPr="00F653B5" w14:paraId="54EFC6EF" w14:textId="77777777" w:rsidTr="00BC03F5">
        <w:trPr>
          <w:trHeight w:hRule="exact" w:val="555"/>
        </w:trPr>
        <w:tc>
          <w:tcPr>
            <w:tcW w:w="2070" w:type="dxa"/>
          </w:tcPr>
          <w:p w14:paraId="0DF7700E" w14:textId="77777777" w:rsidR="00C60087" w:rsidRPr="00F653B5" w:rsidRDefault="00C60087" w:rsidP="00CF7C92">
            <w:pPr>
              <w:pStyle w:val="CambriaNormal"/>
              <w:jc w:val="left"/>
            </w:pPr>
            <w:r w:rsidRPr="00F653B5">
              <w:t>SCIF</w:t>
            </w:r>
          </w:p>
        </w:tc>
        <w:tc>
          <w:tcPr>
            <w:tcW w:w="7290" w:type="dxa"/>
          </w:tcPr>
          <w:p w14:paraId="6892706C" w14:textId="77777777" w:rsidR="00C60087" w:rsidRPr="00F653B5" w:rsidRDefault="00C60087" w:rsidP="00CF7C92">
            <w:pPr>
              <w:pStyle w:val="CambriaNormal"/>
              <w:jc w:val="left"/>
              <w:rPr>
                <w:bCs/>
              </w:rPr>
            </w:pPr>
            <w:r w:rsidRPr="00F653B5">
              <w:t>Sensitive Compartmented Information Facility</w:t>
            </w:r>
          </w:p>
        </w:tc>
      </w:tr>
      <w:tr w:rsidR="00C60087" w:rsidRPr="00F653B5" w14:paraId="1841A67C" w14:textId="77777777" w:rsidTr="00BC03F5">
        <w:trPr>
          <w:trHeight w:hRule="exact" w:val="555"/>
        </w:trPr>
        <w:tc>
          <w:tcPr>
            <w:tcW w:w="2070" w:type="dxa"/>
          </w:tcPr>
          <w:p w14:paraId="0DAFA7A7" w14:textId="77777777" w:rsidR="00C60087" w:rsidRPr="00F653B5" w:rsidRDefault="00C60087" w:rsidP="00CF7C92">
            <w:pPr>
              <w:pStyle w:val="CambriaNormal"/>
              <w:jc w:val="left"/>
            </w:pPr>
            <w:r w:rsidRPr="00F653B5">
              <w:t>SFFAS</w:t>
            </w:r>
          </w:p>
        </w:tc>
        <w:tc>
          <w:tcPr>
            <w:tcW w:w="7290" w:type="dxa"/>
          </w:tcPr>
          <w:p w14:paraId="26BF6991" w14:textId="77777777" w:rsidR="00C60087" w:rsidRPr="00F653B5" w:rsidRDefault="00C60087" w:rsidP="00CF7C92">
            <w:pPr>
              <w:pStyle w:val="CambriaNormal"/>
              <w:jc w:val="left"/>
              <w:rPr>
                <w:bCs/>
              </w:rPr>
            </w:pPr>
            <w:r w:rsidRPr="00F653B5">
              <w:rPr>
                <w:bCs/>
              </w:rPr>
              <w:t>Statement of Federal Financial Accounting Standards</w:t>
            </w:r>
          </w:p>
        </w:tc>
      </w:tr>
      <w:tr w:rsidR="00C560AC" w:rsidRPr="00F653B5" w14:paraId="02047290" w14:textId="77777777" w:rsidTr="00BC03F5">
        <w:trPr>
          <w:trHeight w:hRule="exact" w:val="555"/>
        </w:trPr>
        <w:tc>
          <w:tcPr>
            <w:tcW w:w="2070" w:type="dxa"/>
          </w:tcPr>
          <w:p w14:paraId="11DFC1F3" w14:textId="4FB99393" w:rsidR="00C560AC" w:rsidRPr="00F653B5" w:rsidRDefault="00C560AC" w:rsidP="00CF7C92">
            <w:pPr>
              <w:pStyle w:val="CambriaNormal"/>
              <w:jc w:val="left"/>
            </w:pPr>
            <w:r>
              <w:t>SSP</w:t>
            </w:r>
          </w:p>
        </w:tc>
        <w:tc>
          <w:tcPr>
            <w:tcW w:w="7290" w:type="dxa"/>
          </w:tcPr>
          <w:p w14:paraId="50204BB0" w14:textId="206E8B83" w:rsidR="00C560AC" w:rsidRPr="00F653B5" w:rsidRDefault="00C560AC" w:rsidP="00CF7C92">
            <w:pPr>
              <w:pStyle w:val="CambriaNormal"/>
              <w:jc w:val="left"/>
            </w:pPr>
            <w:r>
              <w:t xml:space="preserve">Shared Service Provider </w:t>
            </w:r>
          </w:p>
        </w:tc>
      </w:tr>
      <w:tr w:rsidR="00C60087" w:rsidRPr="00F653B5" w14:paraId="4086728E" w14:textId="77777777" w:rsidTr="00BC03F5">
        <w:trPr>
          <w:trHeight w:hRule="exact" w:val="555"/>
        </w:trPr>
        <w:tc>
          <w:tcPr>
            <w:tcW w:w="2070" w:type="dxa"/>
          </w:tcPr>
          <w:p w14:paraId="1E8B2FE4" w14:textId="77777777" w:rsidR="00C60087" w:rsidRPr="00F653B5" w:rsidRDefault="00C60087" w:rsidP="00CF7C92">
            <w:pPr>
              <w:pStyle w:val="CambriaNormal"/>
              <w:jc w:val="left"/>
            </w:pPr>
            <w:r w:rsidRPr="00F653B5">
              <w:t>TSA</w:t>
            </w:r>
          </w:p>
        </w:tc>
        <w:tc>
          <w:tcPr>
            <w:tcW w:w="7290" w:type="dxa"/>
          </w:tcPr>
          <w:p w14:paraId="5CB901C9" w14:textId="5817D42F" w:rsidR="00C60087" w:rsidRPr="00F653B5" w:rsidRDefault="00C60087" w:rsidP="00CF7C92">
            <w:pPr>
              <w:pStyle w:val="CambriaNormal"/>
              <w:jc w:val="left"/>
              <w:rPr>
                <w:bCs/>
              </w:rPr>
            </w:pPr>
            <w:r w:rsidRPr="00F653B5">
              <w:t xml:space="preserve">Transportation Security </w:t>
            </w:r>
            <w:r w:rsidR="00786F8C">
              <w:t>Administration</w:t>
            </w:r>
          </w:p>
        </w:tc>
      </w:tr>
      <w:tr w:rsidR="00C60087" w:rsidRPr="00F653B5" w14:paraId="49D1ABCE" w14:textId="77777777" w:rsidTr="00BC03F5">
        <w:trPr>
          <w:trHeight w:hRule="exact" w:val="555"/>
        </w:trPr>
        <w:tc>
          <w:tcPr>
            <w:tcW w:w="2070" w:type="dxa"/>
          </w:tcPr>
          <w:p w14:paraId="0EAE2D23" w14:textId="77777777" w:rsidR="00C60087" w:rsidRPr="00F653B5" w:rsidRDefault="00C60087" w:rsidP="00CF7C92">
            <w:pPr>
              <w:pStyle w:val="CambriaNormal"/>
              <w:jc w:val="left"/>
            </w:pPr>
            <w:r w:rsidRPr="00F653B5">
              <w:t>TSP</w:t>
            </w:r>
          </w:p>
        </w:tc>
        <w:tc>
          <w:tcPr>
            <w:tcW w:w="7290" w:type="dxa"/>
          </w:tcPr>
          <w:p w14:paraId="4B063FFD" w14:textId="77777777" w:rsidR="00C60087" w:rsidRPr="00F653B5" w:rsidRDefault="00C60087" w:rsidP="00CF7C92">
            <w:pPr>
              <w:pStyle w:val="CambriaNormal"/>
              <w:jc w:val="left"/>
              <w:rPr>
                <w:bCs/>
              </w:rPr>
            </w:pPr>
            <w:r w:rsidRPr="00F653B5">
              <w:t>Thrift Savings Plan</w:t>
            </w:r>
          </w:p>
        </w:tc>
      </w:tr>
      <w:tr w:rsidR="00C60087" w:rsidRPr="00F653B5" w14:paraId="72B41CDF" w14:textId="77777777" w:rsidTr="00BC03F5">
        <w:trPr>
          <w:trHeight w:hRule="exact" w:val="555"/>
        </w:trPr>
        <w:tc>
          <w:tcPr>
            <w:tcW w:w="2070" w:type="dxa"/>
          </w:tcPr>
          <w:p w14:paraId="77A3A2F4" w14:textId="77777777" w:rsidR="00C60087" w:rsidRPr="00F653B5" w:rsidRDefault="00C60087" w:rsidP="00CF7C92">
            <w:pPr>
              <w:pStyle w:val="CambriaNormal"/>
              <w:jc w:val="left"/>
            </w:pPr>
            <w:r w:rsidRPr="00F653B5">
              <w:t>Treasury</w:t>
            </w:r>
          </w:p>
        </w:tc>
        <w:tc>
          <w:tcPr>
            <w:tcW w:w="7290" w:type="dxa"/>
          </w:tcPr>
          <w:p w14:paraId="5BAF649F" w14:textId="5DDD15AF" w:rsidR="00C60087" w:rsidRPr="00F653B5" w:rsidRDefault="00595D79" w:rsidP="00CF7C92">
            <w:pPr>
              <w:pStyle w:val="CambriaNormal"/>
              <w:jc w:val="left"/>
              <w:rPr>
                <w:bCs/>
              </w:rPr>
            </w:pPr>
            <w:r w:rsidRPr="00F653B5">
              <w:t>U</w:t>
            </w:r>
            <w:r w:rsidR="00746D79">
              <w:t>nited States</w:t>
            </w:r>
            <w:r w:rsidRPr="00F653B5">
              <w:t xml:space="preserve"> </w:t>
            </w:r>
            <w:r w:rsidR="00C60087" w:rsidRPr="00F653B5">
              <w:t xml:space="preserve">Department of </w:t>
            </w:r>
            <w:r w:rsidR="00E90909">
              <w:t xml:space="preserve">the </w:t>
            </w:r>
            <w:r w:rsidR="00C60087" w:rsidRPr="00F653B5">
              <w:t>Treasury</w:t>
            </w:r>
          </w:p>
        </w:tc>
      </w:tr>
      <w:tr w:rsidR="00E50060" w:rsidRPr="00F653B5" w14:paraId="6EA03F92" w14:textId="77777777" w:rsidTr="00BC03F5">
        <w:trPr>
          <w:trHeight w:hRule="exact" w:val="555"/>
        </w:trPr>
        <w:tc>
          <w:tcPr>
            <w:tcW w:w="2070" w:type="dxa"/>
          </w:tcPr>
          <w:p w14:paraId="7917B48F" w14:textId="04D8C33C" w:rsidR="00E50060" w:rsidRPr="00F653B5" w:rsidRDefault="00E50060" w:rsidP="00CF7C92">
            <w:pPr>
              <w:pStyle w:val="CambriaNormal"/>
              <w:jc w:val="left"/>
            </w:pPr>
            <w:r>
              <w:t>TTRT</w:t>
            </w:r>
          </w:p>
        </w:tc>
        <w:tc>
          <w:tcPr>
            <w:tcW w:w="7290" w:type="dxa"/>
          </w:tcPr>
          <w:p w14:paraId="1D76B8E7" w14:textId="12AF3145" w:rsidR="00E50060" w:rsidRPr="00F653B5" w:rsidRDefault="00E50060" w:rsidP="00CF7C92">
            <w:pPr>
              <w:pStyle w:val="CambriaNormal"/>
              <w:jc w:val="left"/>
              <w:rPr>
                <w:bCs/>
              </w:rPr>
            </w:pPr>
            <w:r w:rsidRPr="00863A6E">
              <w:rPr>
                <w:rFonts w:eastAsia="Times New Roman" w:cstheme="minorHAnsi"/>
                <w:bCs/>
              </w:rPr>
              <w:t>Tactical Terrorism Response Team</w:t>
            </w:r>
          </w:p>
        </w:tc>
      </w:tr>
      <w:tr w:rsidR="00C60087" w:rsidRPr="00F653B5" w14:paraId="6F675D28" w14:textId="77777777" w:rsidTr="00BC03F5">
        <w:trPr>
          <w:trHeight w:hRule="exact" w:val="555"/>
        </w:trPr>
        <w:tc>
          <w:tcPr>
            <w:tcW w:w="2070" w:type="dxa"/>
          </w:tcPr>
          <w:p w14:paraId="02C4938C" w14:textId="77777777" w:rsidR="00C60087" w:rsidRPr="00F653B5" w:rsidRDefault="00C60087" w:rsidP="00CF7C92">
            <w:pPr>
              <w:pStyle w:val="CambriaNormal"/>
              <w:jc w:val="left"/>
            </w:pPr>
            <w:r w:rsidRPr="00F653B5">
              <w:t>TW</w:t>
            </w:r>
          </w:p>
        </w:tc>
        <w:tc>
          <w:tcPr>
            <w:tcW w:w="7290" w:type="dxa"/>
          </w:tcPr>
          <w:p w14:paraId="4A5D1124" w14:textId="77777777" w:rsidR="00C60087" w:rsidRPr="00F653B5" w:rsidRDefault="00C60087" w:rsidP="00CF7C92">
            <w:pPr>
              <w:pStyle w:val="CambriaNormal"/>
              <w:jc w:val="left"/>
              <w:rPr>
                <w:bCs/>
              </w:rPr>
            </w:pPr>
            <w:r w:rsidRPr="00F653B5">
              <w:rPr>
                <w:bCs/>
              </w:rPr>
              <w:t>Trusted Workforce</w:t>
            </w:r>
          </w:p>
        </w:tc>
      </w:tr>
      <w:tr w:rsidR="00746D79" w:rsidRPr="00F653B5" w14:paraId="73D572E5" w14:textId="77777777" w:rsidTr="00786F8C">
        <w:trPr>
          <w:trHeight w:hRule="exact" w:val="555"/>
        </w:trPr>
        <w:tc>
          <w:tcPr>
            <w:tcW w:w="2070" w:type="dxa"/>
          </w:tcPr>
          <w:p w14:paraId="41EAD8D7" w14:textId="19D230A3" w:rsidR="00746D79" w:rsidRDefault="00746D79" w:rsidP="00CF7C92">
            <w:pPr>
              <w:pStyle w:val="CambriaNormal"/>
              <w:jc w:val="left"/>
            </w:pPr>
            <w:r>
              <w:t>U.S.</w:t>
            </w:r>
          </w:p>
        </w:tc>
        <w:tc>
          <w:tcPr>
            <w:tcW w:w="7290" w:type="dxa"/>
          </w:tcPr>
          <w:p w14:paraId="698D7BDB" w14:textId="223C4AC7" w:rsidR="00746D79" w:rsidRDefault="00746D79" w:rsidP="00CF7C92">
            <w:pPr>
              <w:pStyle w:val="CambriaNormal"/>
              <w:jc w:val="left"/>
            </w:pPr>
            <w:r>
              <w:t>United States</w:t>
            </w:r>
          </w:p>
        </w:tc>
      </w:tr>
      <w:tr w:rsidR="00786F8C" w:rsidRPr="00F653B5" w14:paraId="02F3E880" w14:textId="77777777" w:rsidTr="00786F8C">
        <w:trPr>
          <w:trHeight w:hRule="exact" w:val="555"/>
        </w:trPr>
        <w:tc>
          <w:tcPr>
            <w:tcW w:w="2070" w:type="dxa"/>
          </w:tcPr>
          <w:p w14:paraId="683558D6" w14:textId="2B483653" w:rsidR="00786F8C" w:rsidRPr="00F653B5" w:rsidRDefault="00786F8C" w:rsidP="00CF7C92">
            <w:pPr>
              <w:pStyle w:val="CambriaNormal"/>
              <w:jc w:val="left"/>
            </w:pPr>
            <w:r>
              <w:t>U.S.C.</w:t>
            </w:r>
          </w:p>
        </w:tc>
        <w:tc>
          <w:tcPr>
            <w:tcW w:w="7290" w:type="dxa"/>
          </w:tcPr>
          <w:p w14:paraId="619DEF58" w14:textId="18E541A6" w:rsidR="00786F8C" w:rsidRPr="00F653B5" w:rsidRDefault="00786F8C" w:rsidP="00CF7C92">
            <w:pPr>
              <w:pStyle w:val="CambriaNormal"/>
              <w:jc w:val="left"/>
            </w:pPr>
            <w:r>
              <w:t>United States Code</w:t>
            </w:r>
          </w:p>
        </w:tc>
      </w:tr>
      <w:tr w:rsidR="003320FF" w:rsidRPr="00F653B5" w14:paraId="7D5AC0AC" w14:textId="77777777" w:rsidTr="00786F8C">
        <w:trPr>
          <w:trHeight w:hRule="exact" w:val="555"/>
        </w:trPr>
        <w:tc>
          <w:tcPr>
            <w:tcW w:w="2070" w:type="dxa"/>
          </w:tcPr>
          <w:p w14:paraId="615616BD" w14:textId="587F5C50" w:rsidR="003320FF" w:rsidRDefault="003320FF" w:rsidP="00CF7C92">
            <w:pPr>
              <w:pStyle w:val="CambriaNormal"/>
              <w:jc w:val="left"/>
            </w:pPr>
            <w:r>
              <w:t>Watchlist</w:t>
            </w:r>
          </w:p>
        </w:tc>
        <w:tc>
          <w:tcPr>
            <w:tcW w:w="7290" w:type="dxa"/>
          </w:tcPr>
          <w:p w14:paraId="3EB33DE8" w14:textId="00C9A055" w:rsidR="003320FF" w:rsidRDefault="003320FF" w:rsidP="00CF7C92">
            <w:pPr>
              <w:pStyle w:val="CambriaNormal"/>
              <w:jc w:val="left"/>
            </w:pPr>
            <w:r>
              <w:t xml:space="preserve">Terrorist </w:t>
            </w:r>
            <w:r w:rsidR="002011C9">
              <w:t xml:space="preserve">Screening Dataset or </w:t>
            </w:r>
            <w:r>
              <w:t>Terrorist Watchlist</w:t>
            </w:r>
          </w:p>
        </w:tc>
      </w:tr>
    </w:tbl>
    <w:p w14:paraId="2A22FFAD" w14:textId="77777777" w:rsidR="00D22418" w:rsidRPr="00EE3EAB" w:rsidRDefault="00D22418" w:rsidP="00210A53">
      <w:pPr>
        <w:rPr>
          <w:sz w:val="24"/>
          <w:szCs w:val="24"/>
        </w:rPr>
      </w:pPr>
    </w:p>
    <w:sectPr w:rsidR="00D22418" w:rsidRPr="00EE3EAB" w:rsidSect="00290378">
      <w:headerReference w:type="default" r:id="rId128"/>
      <w:pgSz w:w="12240" w:h="15840"/>
      <w:pgMar w:top="1963" w:right="1440" w:bottom="144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7D27A4" w14:textId="77777777" w:rsidR="00692621" w:rsidRDefault="00692621" w:rsidP="00F91CA2">
      <w:pPr>
        <w:spacing w:after="0" w:line="240" w:lineRule="auto"/>
      </w:pPr>
      <w:r>
        <w:separator/>
      </w:r>
    </w:p>
  </w:endnote>
  <w:endnote w:type="continuationSeparator" w:id="0">
    <w:p w14:paraId="259AA5DB" w14:textId="77777777" w:rsidR="00692621" w:rsidRDefault="00692621" w:rsidP="00F91C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ITCCentury Book">
    <w:altName w:val="Cambria"/>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EEAD0" w14:textId="1728AA3C" w:rsidR="0018052B" w:rsidRPr="000C50CC" w:rsidRDefault="00CE50D2" w:rsidP="00CF7C92">
    <w:pPr>
      <w:pStyle w:val="Footer"/>
      <w:ind w:right="810"/>
      <w:jc w:val="right"/>
    </w:pPr>
    <w:r>
      <w:rPr>
        <w:rFonts w:ascii="Cambria" w:hAnsi="Cambria"/>
        <w:noProof/>
      </w:rPr>
      <mc:AlternateContent>
        <mc:Choice Requires="wps">
          <w:drawing>
            <wp:anchor distT="0" distB="0" distL="114300" distR="114300" simplePos="0" relativeHeight="251670528" behindDoc="0" locked="0" layoutInCell="1" allowOverlap="1" wp14:anchorId="4A694914" wp14:editId="4AF79555">
              <wp:simplePos x="0" y="0"/>
              <wp:positionH relativeFrom="column">
                <wp:posOffset>3178175</wp:posOffset>
              </wp:positionH>
              <wp:positionV relativeFrom="paragraph">
                <wp:posOffset>29210</wp:posOffset>
              </wp:positionV>
              <wp:extent cx="2633980" cy="238760"/>
              <wp:effectExtent l="0" t="635" r="0" b="0"/>
              <wp:wrapNone/>
              <wp:docPr id="104231472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238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9B6E3E" w14:textId="2752704A" w:rsidR="0018052B" w:rsidRPr="000C50CC" w:rsidRDefault="0018052B" w:rsidP="00CF7C92">
                          <w:pPr>
                            <w:jc w:val="center"/>
                          </w:pPr>
                          <w:r w:rsidRPr="000C50CC">
                            <w:rPr>
                              <w:rFonts w:ascii="Cambria" w:hAnsi="Cambria"/>
                            </w:rPr>
                            <w:t xml:space="preserve">FY </w:t>
                          </w:r>
                          <w:r w:rsidR="0049075B">
                            <w:rPr>
                              <w:rFonts w:ascii="Cambria" w:hAnsi="Cambria"/>
                            </w:rPr>
                            <w:t>2025</w:t>
                          </w:r>
                          <w:r w:rsidRPr="000C50CC">
                            <w:rPr>
                              <w:rFonts w:ascii="Cambria" w:hAnsi="Cambria"/>
                            </w:rPr>
                            <w:t xml:space="preserve"> AGENCY FINANCIAL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94914" id="_x0000_t202" coordsize="21600,21600" o:spt="202" path="m,l,21600r21600,l21600,xe">
              <v:stroke joinstyle="miter"/>
              <v:path gradientshapeok="t" o:connecttype="rect"/>
            </v:shapetype>
            <v:shape id="Text Box 70" o:spid="_x0000_s1045" type="#_x0000_t202" style="position:absolute;left:0;text-align:left;margin-left:250.25pt;margin-top:2.3pt;width:207.4pt;height:18.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" stroked="f">
              <v:textbox>
                <w:txbxContent>
                  <w:p w14:paraId="099B6E3E" w14:textId="2752704A" w:rsidR="0018052B" w:rsidRPr="000C50CC" w:rsidRDefault="0018052B" w:rsidP="00CF7C92">
                    <w:pPr>
                      <w:jc w:val="center"/>
                    </w:pPr>
                    <w:r w:rsidRPr="000C50CC">
                      <w:rPr>
                        <w:rFonts w:ascii="Cambria" w:hAnsi="Cambria"/>
                      </w:rPr>
                      <w:t xml:space="preserve">FY </w:t>
                    </w:r>
                    <w:r w:rsidR="0049075B">
                      <w:rPr>
                        <w:rFonts w:ascii="Cambria" w:hAnsi="Cambria"/>
                      </w:rPr>
                      <w:t>2025</w:t>
                    </w:r>
                    <w:r w:rsidRPr="000C50CC">
                      <w:rPr>
                        <w:rFonts w:ascii="Cambria" w:hAnsi="Cambria"/>
                      </w:rPr>
                      <w:t xml:space="preserve"> AGENCY FINANCIAL REPORT</w:t>
                    </w:r>
                  </w:p>
                </w:txbxContent>
              </v:textbox>
            </v:shape>
          </w:pict>
        </mc:Fallback>
      </mc:AlternateContent>
    </w:r>
    <w:r>
      <w:rPr>
        <w:rFonts w:ascii="Cambria" w:hAnsi="Cambria"/>
        <w:noProof/>
      </w:rPr>
      <mc:AlternateContent>
        <mc:Choice Requires="wps">
          <w:drawing>
            <wp:anchor distT="0" distB="0" distL="114300" distR="114300" simplePos="0" relativeHeight="251668480" behindDoc="0" locked="0" layoutInCell="1" allowOverlap="1" wp14:anchorId="7EB8D12F" wp14:editId="1438EDAA">
              <wp:simplePos x="0" y="0"/>
              <wp:positionH relativeFrom="page">
                <wp:posOffset>1022350</wp:posOffset>
              </wp:positionH>
              <wp:positionV relativeFrom="page">
                <wp:posOffset>9601200</wp:posOffset>
              </wp:positionV>
              <wp:extent cx="3263265" cy="0"/>
              <wp:effectExtent l="12700" t="9525" r="10160" b="9525"/>
              <wp:wrapNone/>
              <wp:docPr id="1009647341"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265"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BF3AD85" id="_x0000_t32" coordsize="21600,21600" o:spt="32" o:oned="t" path="m,l21600,21600e" filled="f">
              <v:path arrowok="t" fillok="f" o:connecttype="none"/>
              <o:lock v:ext="edit" shapetype="t"/>
            </v:shapetype>
            <v:shape id="Straight Arrow Connector 69" o:spid="_x0000_s1026" type="#_x0000_t32" style="position:absolute;margin-left:80.5pt;margin-top:756pt;width:256.95pt;height:0;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" strokecolor="gray" strokeweight="1pt">
              <w10:wrap anchorx="page" anchory="page"/>
            </v:shape>
          </w:pict>
        </mc:Fallback>
      </mc:AlternateContent>
    </w:r>
    <w:r>
      <w:rPr>
        <w:rFonts w:ascii="Cambria" w:hAnsi="Cambria"/>
        <w:noProof/>
      </w:rPr>
      <mc:AlternateContent>
        <mc:Choice Requires="wps">
          <w:drawing>
            <wp:anchor distT="0" distB="0" distL="114300" distR="114300" simplePos="0" relativeHeight="251669504" behindDoc="0" locked="0" layoutInCell="1" allowOverlap="1" wp14:anchorId="133DF193" wp14:editId="5A04E9D4">
              <wp:simplePos x="0" y="0"/>
              <wp:positionH relativeFrom="page">
                <wp:posOffset>6724650</wp:posOffset>
              </wp:positionH>
              <wp:positionV relativeFrom="page">
                <wp:posOffset>9448800</wp:posOffset>
              </wp:positionV>
              <wp:extent cx="535305" cy="238760"/>
              <wp:effectExtent l="19050" t="19050" r="22860" b="18415"/>
              <wp:wrapNone/>
              <wp:docPr id="387654576" name="Double Bracket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238760"/>
                      </a:xfrm>
                      <a:prstGeom prst="bracketPair">
                        <a:avLst>
                          <a:gd name="adj" fmla="val 16667"/>
                        </a:avLst>
                      </a:prstGeom>
                      <a:solidFill>
                        <a:srgbClr val="FFFFFF"/>
                      </a:solidFill>
                      <a:ln w="28575">
                        <a:solidFill>
                          <a:srgbClr val="808080"/>
                        </a:solidFill>
                        <a:round/>
                        <a:headEnd/>
                        <a:tailEnd/>
                      </a:ln>
                    </wps:spPr>
                    <wps:txbx>
                      <w:txbxContent>
                        <w:p w14:paraId="44255257" w14:textId="77777777" w:rsidR="0018052B" w:rsidRPr="007C7190" w:rsidRDefault="0018052B" w:rsidP="00CF7C92">
                          <w:pPr>
                            <w:jc w:val="center"/>
                            <w:rPr>
                              <w:rFonts w:ascii="Cambria" w:hAnsi="Cambria"/>
                              <w:sz w:val="24"/>
                              <w:szCs w:val="24"/>
                            </w:rPr>
                          </w:pPr>
                          <w:r w:rsidRPr="005430F9">
                            <w:rPr>
                              <w:rFonts w:ascii="Cambria" w:hAnsi="Cambria"/>
                              <w:sz w:val="24"/>
                              <w:szCs w:val="24"/>
                            </w:rPr>
                            <w:fldChar w:fldCharType="begin"/>
                          </w:r>
                          <w:r w:rsidRPr="005430F9">
                            <w:rPr>
                              <w:rFonts w:ascii="Cambria" w:hAnsi="Cambria"/>
                              <w:sz w:val="24"/>
                              <w:szCs w:val="24"/>
                            </w:rPr>
                            <w:instrText xml:space="preserve"> PAGE   \* MERGEFORMAT </w:instrText>
                          </w:r>
                          <w:r w:rsidRPr="005430F9">
                            <w:rPr>
                              <w:rFonts w:ascii="Cambria" w:hAnsi="Cambria"/>
                              <w:sz w:val="24"/>
                              <w:szCs w:val="24"/>
                            </w:rPr>
                            <w:fldChar w:fldCharType="separate"/>
                          </w:r>
                          <w:r w:rsidRPr="005430F9">
                            <w:rPr>
                              <w:rFonts w:ascii="Cambria" w:hAnsi="Cambria"/>
                              <w:sz w:val="24"/>
                              <w:szCs w:val="24"/>
                            </w:rPr>
                            <w:t>1</w:t>
                          </w:r>
                          <w:r w:rsidRPr="005430F9">
                            <w:rPr>
                              <w:rFonts w:ascii="Cambria" w:hAnsi="Cambria"/>
                              <w:sz w:val="24"/>
                              <w:szCs w:val="24"/>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33DF19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68" o:spid="_x0000_s1046" type="#_x0000_t185" style="position:absolute;left:0;text-align:left;margin-left:529.5pt;margin-top:744pt;width:42.15pt;height:18.8pt;z-index:251669504;visibility:visible;mso-wrap-style:square;mso-width-percent:100;mso-height-percent:0;mso-wrap-distance-left:9pt;mso-wrap-distance-top:0;mso-wrap-distance-right:9pt;mso-wrap-distance-bottom:0;mso-position-horizontal:absolute;mso-position-horizontal-relative:page;mso-position-vertical:absolute;mso-position-vertical-relative:page;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" filled="t" strokecolor="gray" strokeweight="2.25pt">
              <v:textbox inset=",0,,0">
                <w:txbxContent>
                  <w:p w14:paraId="44255257" w14:textId="77777777" w:rsidR="0018052B" w:rsidRPr="007C7190" w:rsidRDefault="0018052B" w:rsidP="00CF7C92">
                    <w:pPr>
                      <w:jc w:val="center"/>
                      <w:rPr>
                        <w:rFonts w:ascii="Cambria" w:hAnsi="Cambria"/>
                        <w:sz w:val="24"/>
                        <w:szCs w:val="24"/>
                      </w:rPr>
                    </w:pPr>
                    <w:r w:rsidRPr="005430F9">
                      <w:rPr>
                        <w:rFonts w:ascii="Cambria" w:hAnsi="Cambria"/>
                        <w:sz w:val="24"/>
                        <w:szCs w:val="24"/>
                      </w:rPr>
                      <w:fldChar w:fldCharType="begin"/>
                    </w:r>
                    <w:r w:rsidRPr="005430F9">
                      <w:rPr>
                        <w:rFonts w:ascii="Cambria" w:hAnsi="Cambria"/>
                        <w:sz w:val="24"/>
                        <w:szCs w:val="24"/>
                      </w:rPr>
                      <w:instrText xml:space="preserve"> PAGE   \* MERGEFORMAT </w:instrText>
                    </w:r>
                    <w:r w:rsidRPr="005430F9">
                      <w:rPr>
                        <w:rFonts w:ascii="Cambria" w:hAnsi="Cambria"/>
                        <w:sz w:val="24"/>
                        <w:szCs w:val="24"/>
                      </w:rPr>
                      <w:fldChar w:fldCharType="separate"/>
                    </w:r>
                    <w:r w:rsidRPr="005430F9">
                      <w:rPr>
                        <w:rFonts w:ascii="Cambria" w:hAnsi="Cambria"/>
                        <w:sz w:val="24"/>
                        <w:szCs w:val="24"/>
                      </w:rPr>
                      <w:t>1</w:t>
                    </w:r>
                    <w:r w:rsidRPr="005430F9">
                      <w:rPr>
                        <w:rFonts w:ascii="Cambria" w:hAnsi="Cambria"/>
                        <w:sz w:val="24"/>
                        <w:szCs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1067" w14:textId="2A71841A" w:rsidR="001B1912" w:rsidRPr="001B1912" w:rsidRDefault="001B1912" w:rsidP="001B1912">
    <w:pPr>
      <w:pStyle w:val="Footer"/>
    </w:pPr>
    <w:r w:rsidRPr="001B1912">
      <w:rPr>
        <w:noProof/>
      </w:rPr>
      <mc:AlternateContent>
        <mc:Choice Requires="wps">
          <w:drawing>
            <wp:anchor distT="0" distB="0" distL="114300" distR="114300" simplePos="0" relativeHeight="251786240" behindDoc="0" locked="0" layoutInCell="1" allowOverlap="1" wp14:anchorId="5D41B925" wp14:editId="0A77C50E">
              <wp:simplePos x="0" y="0"/>
              <wp:positionH relativeFrom="page">
                <wp:posOffset>6724650</wp:posOffset>
              </wp:positionH>
              <wp:positionV relativeFrom="page">
                <wp:posOffset>9448800</wp:posOffset>
              </wp:positionV>
              <wp:extent cx="535305" cy="238760"/>
              <wp:effectExtent l="19050" t="19050" r="22860" b="18415"/>
              <wp:wrapNone/>
              <wp:docPr id="1205246959" name="Double Bracket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238760"/>
                      </a:xfrm>
                      <a:prstGeom prst="bracketPair">
                        <a:avLst>
                          <a:gd name="adj" fmla="val 16667"/>
                        </a:avLst>
                      </a:prstGeom>
                      <a:solidFill>
                        <a:srgbClr val="FFFFFF"/>
                      </a:solidFill>
                      <a:ln w="28575">
                        <a:solidFill>
                          <a:srgbClr val="808080"/>
                        </a:solidFill>
                        <a:round/>
                        <a:headEnd/>
                        <a:tailEnd/>
                      </a:ln>
                    </wps:spPr>
                    <wps:txbx>
                      <w:txbxContent>
                        <w:p w14:paraId="1D1CFC4E" w14:textId="77777777" w:rsidR="001B1912" w:rsidRPr="007C7190" w:rsidRDefault="001B1912" w:rsidP="001B1912">
                          <w:pPr>
                            <w:jc w:val="center"/>
                            <w:rPr>
                              <w:rFonts w:ascii="Cambria" w:hAnsi="Cambria"/>
                              <w:sz w:val="24"/>
                              <w:szCs w:val="24"/>
                            </w:rPr>
                          </w:pPr>
                          <w:r w:rsidRPr="005430F9">
                            <w:rPr>
                              <w:rFonts w:ascii="Cambria" w:hAnsi="Cambria"/>
                              <w:sz w:val="24"/>
                              <w:szCs w:val="24"/>
                            </w:rPr>
                            <w:fldChar w:fldCharType="begin"/>
                          </w:r>
                          <w:r w:rsidRPr="005430F9">
                            <w:rPr>
                              <w:rFonts w:ascii="Cambria" w:hAnsi="Cambria"/>
                              <w:sz w:val="24"/>
                              <w:szCs w:val="24"/>
                            </w:rPr>
                            <w:instrText xml:space="preserve"> PAGE   \* MERGEFORMAT </w:instrText>
                          </w:r>
                          <w:r w:rsidRPr="005430F9">
                            <w:rPr>
                              <w:rFonts w:ascii="Cambria" w:hAnsi="Cambria"/>
                              <w:sz w:val="24"/>
                              <w:szCs w:val="24"/>
                            </w:rPr>
                            <w:fldChar w:fldCharType="separate"/>
                          </w:r>
                          <w:r w:rsidRPr="005430F9">
                            <w:rPr>
                              <w:rFonts w:ascii="Cambria" w:hAnsi="Cambria"/>
                              <w:sz w:val="24"/>
                              <w:szCs w:val="24"/>
                            </w:rPr>
                            <w:t>1</w:t>
                          </w:r>
                          <w:r w:rsidRPr="005430F9">
                            <w:rPr>
                              <w:rFonts w:ascii="Cambria" w:hAnsi="Cambria"/>
                              <w:sz w:val="24"/>
                              <w:szCs w:val="24"/>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5D41B92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47" type="#_x0000_t185" style="position:absolute;margin-left:529.5pt;margin-top:744pt;width:42.15pt;height:18.8pt;z-index:251786240;visibility:visible;mso-wrap-style:square;mso-width-percent:100;mso-height-percent:0;mso-wrap-distance-left:9pt;mso-wrap-distance-top:0;mso-wrap-distance-right:9pt;mso-wrap-distance-bottom:0;mso-position-horizontal:absolute;mso-position-horizontal-relative:page;mso-position-vertical:absolute;mso-position-vertical-relative:page;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" filled="t" strokecolor="gray" strokeweight="2.25pt">
              <v:textbox inset=",0,,0">
                <w:txbxContent>
                  <w:p w14:paraId="1D1CFC4E" w14:textId="77777777" w:rsidR="001B1912" w:rsidRPr="007C7190" w:rsidRDefault="001B1912" w:rsidP="001B1912">
                    <w:pPr>
                      <w:jc w:val="center"/>
                      <w:rPr>
                        <w:rFonts w:ascii="Cambria" w:hAnsi="Cambria"/>
                        <w:sz w:val="24"/>
                        <w:szCs w:val="24"/>
                      </w:rPr>
                    </w:pPr>
                    <w:r w:rsidRPr="005430F9">
                      <w:rPr>
                        <w:rFonts w:ascii="Cambria" w:hAnsi="Cambria"/>
                        <w:sz w:val="24"/>
                        <w:szCs w:val="24"/>
                      </w:rPr>
                      <w:fldChar w:fldCharType="begin"/>
                    </w:r>
                    <w:r w:rsidRPr="005430F9">
                      <w:rPr>
                        <w:rFonts w:ascii="Cambria" w:hAnsi="Cambria"/>
                        <w:sz w:val="24"/>
                        <w:szCs w:val="24"/>
                      </w:rPr>
                      <w:instrText xml:space="preserve"> PAGE   \* MERGEFORMAT </w:instrText>
                    </w:r>
                    <w:r w:rsidRPr="005430F9">
                      <w:rPr>
                        <w:rFonts w:ascii="Cambria" w:hAnsi="Cambria"/>
                        <w:sz w:val="24"/>
                        <w:szCs w:val="24"/>
                      </w:rPr>
                      <w:fldChar w:fldCharType="separate"/>
                    </w:r>
                    <w:r w:rsidRPr="005430F9">
                      <w:rPr>
                        <w:rFonts w:ascii="Cambria" w:hAnsi="Cambria"/>
                        <w:sz w:val="24"/>
                        <w:szCs w:val="24"/>
                      </w:rPr>
                      <w:t>1</w:t>
                    </w:r>
                    <w:r w:rsidRPr="005430F9">
                      <w:rPr>
                        <w:rFonts w:ascii="Cambria" w:hAnsi="Cambria"/>
                        <w:sz w:val="24"/>
                        <w:szCs w:val="24"/>
                      </w:rPr>
                      <w:fldChar w:fldCharType="end"/>
                    </w:r>
                  </w:p>
                </w:txbxContent>
              </v:textbox>
              <w10:wrap anchorx="page" anchory="page"/>
            </v:shape>
          </w:pict>
        </mc:Fallback>
      </mc:AlternateContent>
    </w:r>
  </w:p>
  <w:p w14:paraId="64A59139" w14:textId="5FE5B5AE" w:rsidR="001B1912" w:rsidRDefault="001B1912">
    <w:pPr>
      <w:pStyle w:val="Footer"/>
    </w:pPr>
    <w:r w:rsidRPr="001B1912">
      <w:rPr>
        <w:noProof/>
      </w:rPr>
      <mc:AlternateContent>
        <mc:Choice Requires="wps">
          <w:drawing>
            <wp:anchor distT="0" distB="0" distL="114300" distR="114300" simplePos="0" relativeHeight="251785216" behindDoc="0" locked="0" layoutInCell="1" allowOverlap="1" wp14:anchorId="78CE92BC" wp14:editId="516A68F1">
              <wp:simplePos x="0" y="0"/>
              <wp:positionH relativeFrom="page">
                <wp:posOffset>1022350</wp:posOffset>
              </wp:positionH>
              <wp:positionV relativeFrom="page">
                <wp:posOffset>9563100</wp:posOffset>
              </wp:positionV>
              <wp:extent cx="3263265" cy="0"/>
              <wp:effectExtent l="0" t="0" r="0" b="0"/>
              <wp:wrapNone/>
              <wp:docPr id="1185210266"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265"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33805ABC" id="_x0000_t32" coordsize="21600,21600" o:spt="32" o:oned="t" path="m,l21600,21600e" filled="f">
              <v:path arrowok="t" fillok="f" o:connecttype="none"/>
              <o:lock v:ext="edit" shapetype="t"/>
            </v:shapetype>
            <v:shape id="Straight Arrow Connector 69" o:spid="_x0000_s1026" type="#_x0000_t32" style="position:absolute;margin-left:80.5pt;margin-top:753pt;width:256.95pt;height:0;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" strokecolor="gray" strokeweight="1pt">
              <w10:wrap anchorx="page" anchory="page"/>
            </v:shape>
          </w:pict>
        </mc:Fallback>
      </mc:AlternateContent>
    </w:r>
    <w:r w:rsidRPr="001B1912">
      <w:rPr>
        <w:noProof/>
      </w:rPr>
      <mc:AlternateContent>
        <mc:Choice Requires="wps">
          <w:drawing>
            <wp:anchor distT="0" distB="0" distL="114300" distR="114300" simplePos="0" relativeHeight="251787264" behindDoc="0" locked="0" layoutInCell="1" allowOverlap="1" wp14:anchorId="5C6A37FA" wp14:editId="10A67B5A">
              <wp:simplePos x="0" y="0"/>
              <wp:positionH relativeFrom="column">
                <wp:posOffset>3178175</wp:posOffset>
              </wp:positionH>
              <wp:positionV relativeFrom="paragraph">
                <wp:posOffset>12065</wp:posOffset>
              </wp:positionV>
              <wp:extent cx="2633980" cy="238760"/>
              <wp:effectExtent l="0" t="635" r="0" b="0"/>
              <wp:wrapNone/>
              <wp:docPr id="162398807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238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6D4C3" w14:textId="4C12D452" w:rsidR="001B1912" w:rsidRPr="000C50CC" w:rsidRDefault="001B1912" w:rsidP="001B1912">
                          <w:pPr>
                            <w:jc w:val="center"/>
                          </w:pPr>
                          <w:r w:rsidRPr="000C50CC">
                            <w:rPr>
                              <w:rFonts w:ascii="Cambria" w:hAnsi="Cambria"/>
                            </w:rPr>
                            <w:t xml:space="preserve">FY </w:t>
                          </w:r>
                          <w:r w:rsidR="0049075B">
                            <w:rPr>
                              <w:rFonts w:ascii="Cambria" w:hAnsi="Cambria"/>
                            </w:rPr>
                            <w:t>2025</w:t>
                          </w:r>
                          <w:r w:rsidRPr="000C50CC">
                            <w:rPr>
                              <w:rFonts w:ascii="Cambria" w:hAnsi="Cambria"/>
                            </w:rPr>
                            <w:t xml:space="preserve"> AGENCY FINANCIAL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6A37FA" id="_x0000_t202" coordsize="21600,21600" o:spt="202" path="m,l,21600r21600,l21600,xe">
              <v:stroke joinstyle="miter"/>
              <v:path gradientshapeok="t" o:connecttype="rect"/>
            </v:shapetype>
            <v:shape id="_x0000_s1048" type="#_x0000_t202" style="position:absolute;margin-left:250.25pt;margin-top:.95pt;width:207.4pt;height:18.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" stroked="f">
              <v:textbox>
                <w:txbxContent>
                  <w:p w14:paraId="2C06D4C3" w14:textId="4C12D452" w:rsidR="001B1912" w:rsidRPr="000C50CC" w:rsidRDefault="001B1912" w:rsidP="001B1912">
                    <w:pPr>
                      <w:jc w:val="center"/>
                    </w:pPr>
                    <w:r w:rsidRPr="000C50CC">
                      <w:rPr>
                        <w:rFonts w:ascii="Cambria" w:hAnsi="Cambria"/>
                      </w:rPr>
                      <w:t xml:space="preserve">FY </w:t>
                    </w:r>
                    <w:r w:rsidR="0049075B">
                      <w:rPr>
                        <w:rFonts w:ascii="Cambria" w:hAnsi="Cambria"/>
                      </w:rPr>
                      <w:t>2025</w:t>
                    </w:r>
                    <w:r w:rsidRPr="000C50CC">
                      <w:rPr>
                        <w:rFonts w:ascii="Cambria" w:hAnsi="Cambria"/>
                      </w:rPr>
                      <w:t xml:space="preserve"> AGENCY FINANCIAL REPORT</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D2D181" w14:textId="77777777" w:rsidR="00692621" w:rsidRDefault="00692621" w:rsidP="00F91CA2">
      <w:pPr>
        <w:spacing w:after="0" w:line="240" w:lineRule="auto"/>
      </w:pPr>
      <w:r>
        <w:separator/>
      </w:r>
    </w:p>
  </w:footnote>
  <w:footnote w:type="continuationSeparator" w:id="0">
    <w:p w14:paraId="27272C1D" w14:textId="77777777" w:rsidR="00692621" w:rsidRDefault="00692621" w:rsidP="00F91CA2">
      <w:pPr>
        <w:spacing w:after="0" w:line="240" w:lineRule="auto"/>
      </w:pPr>
      <w:r>
        <w:continuationSeparator/>
      </w:r>
    </w:p>
  </w:footnote>
  <w:footnote w:id="1">
    <w:p w14:paraId="0EFB226A" w14:textId="6623D4BA" w:rsidR="0048178B" w:rsidRPr="007261C8" w:rsidRDefault="0048178B" w:rsidP="00AC59B8">
      <w:pPr>
        <w:pStyle w:val="FootnoteText"/>
        <w:jc w:val="both"/>
        <w:rPr>
          <w:rFonts w:ascii="Cambria" w:hAnsi="Cambria"/>
        </w:rPr>
      </w:pPr>
      <w:r w:rsidRPr="00AC59B8">
        <w:rPr>
          <w:rStyle w:val="FootnoteReference"/>
          <w:rFonts w:ascii="Cambria" w:hAnsi="Cambria"/>
          <w:color w:val="FFFFFF" w:themeColor="background1"/>
          <w:sz w:val="18"/>
          <w:szCs w:val="18"/>
        </w:rPr>
        <w:footnoteRef/>
      </w:r>
      <w:r w:rsidRPr="00AC59B8">
        <w:rPr>
          <w:rFonts w:ascii="Cambria" w:hAnsi="Cambria"/>
          <w:color w:val="FFFFFF" w:themeColor="background1"/>
          <w:sz w:val="18"/>
          <w:szCs w:val="18"/>
        </w:rPr>
        <w:t xml:space="preserve"> To the extent that any portion of these historical documents are inconsistent with Executive Orders 14151</w:t>
      </w:r>
      <w:r w:rsidR="00DA0875" w:rsidRPr="00DA0875">
        <w:rPr>
          <w:rFonts w:ascii="Cambria" w:hAnsi="Cambria"/>
          <w:i/>
          <w:iCs/>
          <w:color w:val="FFFFFF" w:themeColor="background1"/>
          <w:sz w:val="18"/>
          <w:szCs w:val="18"/>
        </w:rPr>
        <w:t xml:space="preserve">, </w:t>
      </w:r>
      <w:r w:rsidRPr="00DA0875">
        <w:rPr>
          <w:rFonts w:ascii="Cambria" w:hAnsi="Cambria"/>
          <w:i/>
          <w:iCs/>
          <w:color w:val="FFFFFF" w:themeColor="background1"/>
          <w:sz w:val="18"/>
          <w:szCs w:val="18"/>
        </w:rPr>
        <w:t>Ending Radical And Wasteful Government DEI Programs And Preferencing</w:t>
      </w:r>
      <w:r w:rsidRPr="00AC59B8">
        <w:rPr>
          <w:rFonts w:ascii="Cambria" w:hAnsi="Cambria"/>
          <w:color w:val="FFFFFF" w:themeColor="background1"/>
          <w:sz w:val="18"/>
          <w:szCs w:val="18"/>
        </w:rPr>
        <w:t>, 14168</w:t>
      </w:r>
      <w:r w:rsidR="00DA0875">
        <w:rPr>
          <w:rFonts w:ascii="Cambria" w:hAnsi="Cambria"/>
          <w:color w:val="FFFFFF" w:themeColor="background1"/>
          <w:sz w:val="18"/>
          <w:szCs w:val="18"/>
        </w:rPr>
        <w:t xml:space="preserve">, </w:t>
      </w:r>
      <w:r w:rsidRPr="00DA0875">
        <w:rPr>
          <w:rFonts w:ascii="Cambria" w:hAnsi="Cambria"/>
          <w:i/>
          <w:iCs/>
          <w:color w:val="FFFFFF" w:themeColor="background1"/>
          <w:sz w:val="18"/>
          <w:szCs w:val="18"/>
        </w:rPr>
        <w:t>Defending Women from Gender Ideology Extremism and Restoring Biological Truth to the Federal Government</w:t>
      </w:r>
      <w:r w:rsidRPr="00AC59B8">
        <w:rPr>
          <w:rFonts w:ascii="Cambria" w:hAnsi="Cambria"/>
          <w:color w:val="FFFFFF" w:themeColor="background1"/>
          <w:sz w:val="18"/>
          <w:szCs w:val="18"/>
        </w:rPr>
        <w:t>, or any other Executive Order or directive issued since January 20, 2025, such portions are inoperative and discontinued.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3222C" w14:textId="29512908" w:rsidR="00B013BF" w:rsidRPr="00BD19DA" w:rsidRDefault="00B013BF" w:rsidP="00B013BF">
    <w:pPr>
      <w:pStyle w:val="Header"/>
      <w:rPr>
        <w:b/>
        <w:bCs/>
        <w:color w:val="FFFFFF" w:themeColor="background1"/>
      </w:rPr>
    </w:pPr>
  </w:p>
  <w:p w14:paraId="10B2CC47" w14:textId="0DD4A25D" w:rsidR="00B013BF" w:rsidRPr="00BD19DA" w:rsidRDefault="00B013BF" w:rsidP="00B013BF">
    <w:pPr>
      <w:pStyle w:val="Header"/>
      <w:rPr>
        <w:color w:val="FFFFFF" w:themeColor="background1"/>
      </w:rPr>
    </w:pPr>
    <w:r w:rsidRPr="00BD19DA">
      <w:rPr>
        <w:color w:val="FFFFFF" w:themeColor="background1"/>
      </w:rPr>
      <w:t>Notes to the financial statements</w:t>
    </w:r>
  </w:p>
  <w:p w14:paraId="05E24E75" w14:textId="31658DAC" w:rsidR="00B013BF" w:rsidRPr="00BD19DA" w:rsidRDefault="008D0A07">
    <w:pPr>
      <w:pStyle w:val="Header"/>
      <w:rPr>
        <w:color w:val="FFFFFF" w:themeColor="background1"/>
      </w:rPr>
    </w:pPr>
    <w:r w:rsidRPr="00182D44">
      <w:rPr>
        <w:rFonts w:ascii="Cambria" w:hAnsi="Cambria"/>
        <w:b/>
        <w:bCs/>
        <w:caps/>
        <w:noProof/>
        <w:color w:val="4A66AC" w:themeColor="accent1"/>
        <w:spacing w:val="40"/>
      </w:rPr>
      <mc:AlternateContent>
        <mc:Choice Requires="wps">
          <w:drawing>
            <wp:anchor distT="0" distB="0" distL="114300" distR="114300" simplePos="0" relativeHeight="251779072" behindDoc="0" locked="0" layoutInCell="1" allowOverlap="1" wp14:anchorId="55E67208" wp14:editId="5C2C419A">
              <wp:simplePos x="0" y="0"/>
              <wp:positionH relativeFrom="page">
                <wp:posOffset>-148856</wp:posOffset>
              </wp:positionH>
              <wp:positionV relativeFrom="page">
                <wp:posOffset>1124836</wp:posOffset>
              </wp:positionV>
              <wp:extent cx="7921256" cy="0"/>
              <wp:effectExtent l="0" t="19050" r="22860" b="19050"/>
              <wp:wrapNone/>
              <wp:docPr id="952966711" name="Straight Connector 20"/>
              <wp:cNvGraphicFramePr/>
              <a:graphic xmlns:a="http://schemas.openxmlformats.org/drawingml/2006/main">
                <a:graphicData uri="http://schemas.microsoft.com/office/word/2010/wordprocessingShape">
                  <wps:wsp>
                    <wps:cNvCnPr/>
                    <wps:spPr>
                      <a:xfrm>
                        <a:off x="0" y="0"/>
                        <a:ext cx="7921256"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BD4A6E" id="Straight Connector 20" o:spid="_x0000_s1026" style="position:absolute;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11.7pt,88.55pt" to="612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" strokecolor="#4a66ac [3204]" strokeweight="2.25pt">
              <v:stroke joinstyle="miter"/>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247CB" w14:textId="77777777" w:rsidR="00985E12" w:rsidRDefault="00985E12" w:rsidP="00290378">
    <w:pPr>
      <w:pStyle w:val="Header"/>
      <w:tabs>
        <w:tab w:val="clear" w:pos="4680"/>
        <w:tab w:val="clear" w:pos="9360"/>
      </w:tabs>
      <w:ind w:right="-90"/>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72928" behindDoc="0" locked="0" layoutInCell="1" allowOverlap="1" wp14:anchorId="3821DF13" wp14:editId="06779F0B">
          <wp:simplePos x="0" y="0"/>
          <wp:positionH relativeFrom="page">
            <wp:posOffset>566420</wp:posOffset>
          </wp:positionH>
          <wp:positionV relativeFrom="page">
            <wp:posOffset>178596</wp:posOffset>
          </wp:positionV>
          <wp:extent cx="798830" cy="786765"/>
          <wp:effectExtent l="0" t="0" r="1270" b="0"/>
          <wp:wrapSquare wrapText="bothSides"/>
          <wp:docPr id="668115318"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73952" behindDoc="0" locked="0" layoutInCell="1" allowOverlap="1" wp14:anchorId="361D12E2" wp14:editId="146A3030">
              <wp:simplePos x="0" y="0"/>
              <wp:positionH relativeFrom="page">
                <wp:posOffset>-78180</wp:posOffset>
              </wp:positionH>
              <wp:positionV relativeFrom="page">
                <wp:posOffset>1092777</wp:posOffset>
              </wp:positionV>
              <wp:extent cx="7856517" cy="0"/>
              <wp:effectExtent l="0" t="19050" r="30480" b="19050"/>
              <wp:wrapNone/>
              <wp:docPr id="142105242"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4BD87A" id="Straight Connector 20" o:spid="_x0000_s1026" style="position:absolute;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7FC924D0" w14:textId="557A940D" w:rsidR="00985E12" w:rsidRPr="006166FE" w:rsidRDefault="009A0859" w:rsidP="00290378">
    <w:pPr>
      <w:pStyle w:val="Header"/>
      <w:tabs>
        <w:tab w:val="clear" w:pos="4680"/>
        <w:tab w:val="clear" w:pos="9360"/>
      </w:tabs>
      <w:ind w:right="-90"/>
      <w:jc w:val="right"/>
      <w:rPr>
        <w:rFonts w:ascii="Cambria" w:hAnsi="Cambria"/>
        <w:caps/>
        <w:color w:val="4A66AC" w:themeColor="accent1"/>
        <w:spacing w:val="40"/>
      </w:rPr>
    </w:pPr>
    <w:r>
      <w:rPr>
        <w:rFonts w:ascii="Cambria" w:hAnsi="Cambria"/>
        <w:caps/>
        <w:color w:val="4A66AC" w:themeColor="accent1"/>
        <w:spacing w:val="40"/>
      </w:rPr>
      <w:t>Significant Opportunties and Risks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2644E" w14:textId="77777777" w:rsidR="009A0859" w:rsidRDefault="009A0859"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98528" behindDoc="0" locked="0" layoutInCell="1" allowOverlap="1" wp14:anchorId="23DDBFCB" wp14:editId="0D139C86">
          <wp:simplePos x="0" y="0"/>
          <wp:positionH relativeFrom="page">
            <wp:posOffset>566420</wp:posOffset>
          </wp:positionH>
          <wp:positionV relativeFrom="page">
            <wp:posOffset>178596</wp:posOffset>
          </wp:positionV>
          <wp:extent cx="798830" cy="786765"/>
          <wp:effectExtent l="0" t="0" r="1270" b="0"/>
          <wp:wrapSquare wrapText="bothSides"/>
          <wp:docPr id="895342024"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99552" behindDoc="0" locked="0" layoutInCell="1" allowOverlap="1" wp14:anchorId="446888FC" wp14:editId="795C103F">
              <wp:simplePos x="0" y="0"/>
              <wp:positionH relativeFrom="page">
                <wp:posOffset>-78180</wp:posOffset>
              </wp:positionH>
              <wp:positionV relativeFrom="page">
                <wp:posOffset>1092777</wp:posOffset>
              </wp:positionV>
              <wp:extent cx="7856517" cy="0"/>
              <wp:effectExtent l="0" t="19050" r="30480" b="19050"/>
              <wp:wrapNone/>
              <wp:docPr id="1994375710"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B79CE" id="Straight Connector 20" o:spid="_x0000_s1026" style="position:absolute;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595EC5F9" w14:textId="77777777" w:rsidR="009A0859" w:rsidRPr="006166FE" w:rsidRDefault="009A0859"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Management Assurance Statement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1FD04" w14:textId="77777777" w:rsidR="00AE225E" w:rsidRDefault="00AE225E"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44256" behindDoc="0" locked="0" layoutInCell="1" allowOverlap="1" wp14:anchorId="55A79E18" wp14:editId="1A68E081">
          <wp:simplePos x="0" y="0"/>
          <wp:positionH relativeFrom="page">
            <wp:posOffset>566420</wp:posOffset>
          </wp:positionH>
          <wp:positionV relativeFrom="page">
            <wp:posOffset>178596</wp:posOffset>
          </wp:positionV>
          <wp:extent cx="798830" cy="786765"/>
          <wp:effectExtent l="0" t="0" r="1270" b="0"/>
          <wp:wrapSquare wrapText="bothSides"/>
          <wp:docPr id="2769259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45280" behindDoc="0" locked="0" layoutInCell="1" allowOverlap="1" wp14:anchorId="447969EA" wp14:editId="00E10091">
              <wp:simplePos x="0" y="0"/>
              <wp:positionH relativeFrom="page">
                <wp:posOffset>-78180</wp:posOffset>
              </wp:positionH>
              <wp:positionV relativeFrom="page">
                <wp:posOffset>1092777</wp:posOffset>
              </wp:positionV>
              <wp:extent cx="7856517" cy="0"/>
              <wp:effectExtent l="0" t="19050" r="30480" b="19050"/>
              <wp:wrapNone/>
              <wp:docPr id="1978258562"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625C10" id="Straight Connector 20" o:spid="_x0000_s1026" style="position:absolute;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49E447E9" w14:textId="7B9AC4CE" w:rsidR="00AE225E" w:rsidRPr="002345D3" w:rsidRDefault="00AE225E"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Analysis of systems, controls, and legal compliance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4A2F3" w14:textId="3FD7EBBB" w:rsidR="00FB1323" w:rsidRDefault="00FB1323"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04320" behindDoc="0" locked="0" layoutInCell="1" allowOverlap="1" wp14:anchorId="1ACC37F8" wp14:editId="7935D055">
          <wp:simplePos x="0" y="0"/>
          <wp:positionH relativeFrom="page">
            <wp:posOffset>578959</wp:posOffset>
          </wp:positionH>
          <wp:positionV relativeFrom="page">
            <wp:posOffset>186055</wp:posOffset>
          </wp:positionV>
          <wp:extent cx="798830" cy="786765"/>
          <wp:effectExtent l="0" t="0" r="1270" b="0"/>
          <wp:wrapSquare wrapText="bothSides"/>
          <wp:docPr id="23710080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53E5C59B" w14:textId="49B7BCC5" w:rsidR="00285223" w:rsidRPr="002345D3" w:rsidRDefault="00285223" w:rsidP="00182D44">
    <w:pPr>
      <w:pStyle w:val="Header"/>
      <w:jc w:val="right"/>
      <w:rPr>
        <w:rFonts w:ascii="Cambria" w:hAnsi="Cambria"/>
        <w:caps/>
        <w:color w:val="4A66AC" w:themeColor="accent1"/>
        <w:spacing w:val="40"/>
      </w:rPr>
    </w:pPr>
    <w:r>
      <w:rPr>
        <w:rFonts w:ascii="Cambria" w:hAnsi="Cambria"/>
        <w:caps/>
        <w:color w:val="4A66AC" w:themeColor="accent1"/>
        <w:spacing w:val="40"/>
      </w:rPr>
      <w:t>Message from the Chief Financial Officer</w:t>
    </w:r>
  </w:p>
  <w:p w14:paraId="2D626DCA" w14:textId="50586A35" w:rsidR="00175B4E" w:rsidRPr="0094473A" w:rsidRDefault="0056018A" w:rsidP="00B41CD5">
    <w:pPr>
      <w:pStyle w:val="Header"/>
      <w:jc w:val="right"/>
      <w:rPr>
        <w:rFonts w:ascii="Cambria" w:hAnsi="Cambria"/>
        <w:caps/>
      </w:rPr>
    </w:pPr>
    <w:r w:rsidRPr="00182D44">
      <w:rPr>
        <w:rFonts w:ascii="Cambria" w:hAnsi="Cambria"/>
        <w:b/>
        <w:bCs/>
        <w:caps/>
        <w:noProof/>
        <w:color w:val="4A66AC" w:themeColor="accent1"/>
        <w:spacing w:val="40"/>
      </w:rPr>
      <mc:AlternateContent>
        <mc:Choice Requires="wps">
          <w:drawing>
            <wp:anchor distT="0" distB="0" distL="114300" distR="114300" simplePos="0" relativeHeight="251705344" behindDoc="0" locked="0" layoutInCell="1" allowOverlap="1" wp14:anchorId="3D9B0CB5" wp14:editId="647DE020">
              <wp:simplePos x="0" y="0"/>
              <wp:positionH relativeFrom="page">
                <wp:posOffset>-76200</wp:posOffset>
              </wp:positionH>
              <wp:positionV relativeFrom="page">
                <wp:posOffset>1085850</wp:posOffset>
              </wp:positionV>
              <wp:extent cx="7848600" cy="0"/>
              <wp:effectExtent l="0" t="19050" r="19050" b="19050"/>
              <wp:wrapNone/>
              <wp:docPr id="705390992"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13BD63" id="Straight Connector 20"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0AC04" w14:textId="77777777" w:rsidR="00A52152" w:rsidRDefault="00A52152"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54496" behindDoc="0" locked="0" layoutInCell="1" allowOverlap="1" wp14:anchorId="559DCEFC" wp14:editId="221A7D94">
          <wp:simplePos x="0" y="0"/>
          <wp:positionH relativeFrom="page">
            <wp:posOffset>578959</wp:posOffset>
          </wp:positionH>
          <wp:positionV relativeFrom="page">
            <wp:posOffset>186055</wp:posOffset>
          </wp:positionV>
          <wp:extent cx="798830" cy="786765"/>
          <wp:effectExtent l="0" t="0" r="1270" b="0"/>
          <wp:wrapSquare wrapText="bothSides"/>
          <wp:docPr id="201186242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2313DCA3" w14:textId="3CDD4064" w:rsidR="00A52152" w:rsidRPr="002345D3" w:rsidRDefault="00A52152" w:rsidP="00182D44">
    <w:pPr>
      <w:pStyle w:val="Header"/>
      <w:jc w:val="right"/>
      <w:rPr>
        <w:rFonts w:ascii="Cambria" w:hAnsi="Cambria"/>
        <w:caps/>
        <w:color w:val="4A66AC" w:themeColor="accent1"/>
        <w:spacing w:val="40"/>
      </w:rPr>
    </w:pPr>
    <w:r>
      <w:rPr>
        <w:rFonts w:ascii="Cambria" w:hAnsi="Cambria"/>
        <w:caps/>
        <w:color w:val="4A66AC" w:themeColor="accent1"/>
        <w:spacing w:val="40"/>
      </w:rPr>
      <w:t>independent auditor</w:t>
    </w:r>
    <w:r w:rsidR="005131D9">
      <w:rPr>
        <w:rFonts w:ascii="Cambria" w:hAnsi="Cambria"/>
        <w:caps/>
        <w:color w:val="4A66AC" w:themeColor="accent1"/>
        <w:spacing w:val="40"/>
      </w:rPr>
      <w:t>’</w:t>
    </w:r>
    <w:r>
      <w:rPr>
        <w:rFonts w:ascii="Cambria" w:hAnsi="Cambria"/>
        <w:caps/>
        <w:color w:val="4A66AC" w:themeColor="accent1"/>
        <w:spacing w:val="40"/>
      </w:rPr>
      <w:t>s</w:t>
    </w:r>
    <w:r w:rsidR="005131D9">
      <w:rPr>
        <w:rFonts w:ascii="Cambria" w:hAnsi="Cambria"/>
        <w:caps/>
        <w:color w:val="4A66AC" w:themeColor="accent1"/>
        <w:spacing w:val="40"/>
      </w:rPr>
      <w:t xml:space="preserve"> REPORT</w:t>
    </w:r>
  </w:p>
  <w:p w14:paraId="4C04221F" w14:textId="77777777" w:rsidR="00A52152" w:rsidRPr="0094473A" w:rsidRDefault="00A52152" w:rsidP="00B41CD5">
    <w:pPr>
      <w:pStyle w:val="Header"/>
      <w:jc w:val="right"/>
      <w:rPr>
        <w:rFonts w:ascii="Cambria" w:hAnsi="Cambria"/>
        <w:caps/>
      </w:rPr>
    </w:pPr>
    <w:r w:rsidRPr="00182D44">
      <w:rPr>
        <w:rFonts w:ascii="Cambria" w:hAnsi="Cambria"/>
        <w:b/>
        <w:bCs/>
        <w:caps/>
        <w:noProof/>
        <w:color w:val="4A66AC" w:themeColor="accent1"/>
        <w:spacing w:val="40"/>
      </w:rPr>
      <mc:AlternateContent>
        <mc:Choice Requires="wps">
          <w:drawing>
            <wp:anchor distT="0" distB="0" distL="114300" distR="114300" simplePos="0" relativeHeight="251755520" behindDoc="0" locked="0" layoutInCell="1" allowOverlap="1" wp14:anchorId="6D505D0C" wp14:editId="3F0E7DBC">
              <wp:simplePos x="0" y="0"/>
              <wp:positionH relativeFrom="page">
                <wp:posOffset>-76200</wp:posOffset>
              </wp:positionH>
              <wp:positionV relativeFrom="page">
                <wp:posOffset>1085850</wp:posOffset>
              </wp:positionV>
              <wp:extent cx="7848600" cy="0"/>
              <wp:effectExtent l="0" t="19050" r="19050" b="19050"/>
              <wp:wrapNone/>
              <wp:docPr id="2045111217"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A051EA" id="Straight Connector 20" o:spid="_x0000_s1026" style="position:absolute;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4449F" w14:textId="186D07D5" w:rsidR="00A52152" w:rsidRDefault="00A52152"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57568" behindDoc="0" locked="0" layoutInCell="1" allowOverlap="1" wp14:anchorId="269B7371" wp14:editId="34A87870">
          <wp:simplePos x="0" y="0"/>
          <wp:positionH relativeFrom="page">
            <wp:posOffset>578959</wp:posOffset>
          </wp:positionH>
          <wp:positionV relativeFrom="page">
            <wp:posOffset>186055</wp:posOffset>
          </wp:positionV>
          <wp:extent cx="798830" cy="786765"/>
          <wp:effectExtent l="0" t="0" r="1270" b="0"/>
          <wp:wrapSquare wrapText="bothSides"/>
          <wp:docPr id="1306120575"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1ED95790" w14:textId="3CB4F6BA" w:rsidR="00A52152" w:rsidRDefault="00A52152" w:rsidP="00182D44">
    <w:pPr>
      <w:pStyle w:val="Header"/>
      <w:jc w:val="right"/>
      <w:rPr>
        <w:rFonts w:ascii="Cambria" w:hAnsi="Cambria"/>
        <w:caps/>
        <w:color w:val="4A66AC" w:themeColor="accent1"/>
        <w:spacing w:val="40"/>
      </w:rPr>
    </w:pPr>
    <w:r>
      <w:rPr>
        <w:rFonts w:ascii="Cambria" w:hAnsi="Cambria"/>
        <w:caps/>
        <w:color w:val="4A66AC" w:themeColor="accent1"/>
        <w:spacing w:val="40"/>
      </w:rPr>
      <w:t>Audited financial statements</w:t>
    </w:r>
  </w:p>
  <w:p w14:paraId="76374D2F" w14:textId="042FD39B" w:rsidR="00A52152" w:rsidRPr="002345D3" w:rsidRDefault="00A52152" w:rsidP="00182D44">
    <w:pPr>
      <w:pStyle w:val="Header"/>
      <w:jc w:val="right"/>
      <w:rPr>
        <w:rFonts w:ascii="Cambria" w:hAnsi="Cambria"/>
        <w:caps/>
        <w:color w:val="4A66AC" w:themeColor="accent1"/>
        <w:spacing w:val="40"/>
      </w:rPr>
    </w:pPr>
    <w:r>
      <w:rPr>
        <w:rFonts w:ascii="Cambria" w:hAnsi="Cambria"/>
        <w:caps/>
        <w:color w:val="4A66AC" w:themeColor="accent1"/>
        <w:spacing w:val="40"/>
      </w:rPr>
      <w:t>balance sheet</w:t>
    </w:r>
  </w:p>
  <w:p w14:paraId="1300F3F3" w14:textId="77777777" w:rsidR="00A52152" w:rsidRPr="0094473A" w:rsidRDefault="00A52152" w:rsidP="00B41CD5">
    <w:pPr>
      <w:pStyle w:val="Header"/>
      <w:jc w:val="right"/>
      <w:rPr>
        <w:rFonts w:ascii="Cambria" w:hAnsi="Cambria"/>
        <w:caps/>
      </w:rPr>
    </w:pPr>
    <w:r w:rsidRPr="00182D44">
      <w:rPr>
        <w:rFonts w:ascii="Cambria" w:hAnsi="Cambria"/>
        <w:b/>
        <w:bCs/>
        <w:caps/>
        <w:noProof/>
        <w:color w:val="4A66AC" w:themeColor="accent1"/>
        <w:spacing w:val="40"/>
      </w:rPr>
      <mc:AlternateContent>
        <mc:Choice Requires="wps">
          <w:drawing>
            <wp:anchor distT="0" distB="0" distL="114300" distR="114300" simplePos="0" relativeHeight="251758592" behindDoc="0" locked="0" layoutInCell="1" allowOverlap="1" wp14:anchorId="3E2137FB" wp14:editId="1B6D631D">
              <wp:simplePos x="0" y="0"/>
              <wp:positionH relativeFrom="page">
                <wp:posOffset>-76200</wp:posOffset>
              </wp:positionH>
              <wp:positionV relativeFrom="page">
                <wp:posOffset>1085850</wp:posOffset>
              </wp:positionV>
              <wp:extent cx="7848600" cy="0"/>
              <wp:effectExtent l="0" t="19050" r="19050" b="19050"/>
              <wp:wrapNone/>
              <wp:docPr id="818895281"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93708" id="Straight Connector 20" o:spid="_x0000_s1026" style="position:absolute;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1CB19" w14:textId="77777777" w:rsidR="00A52152" w:rsidRDefault="00A52152"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60640" behindDoc="0" locked="0" layoutInCell="1" allowOverlap="1" wp14:anchorId="09747AD3" wp14:editId="5498B3A3">
          <wp:simplePos x="0" y="0"/>
          <wp:positionH relativeFrom="page">
            <wp:posOffset>578959</wp:posOffset>
          </wp:positionH>
          <wp:positionV relativeFrom="page">
            <wp:posOffset>186055</wp:posOffset>
          </wp:positionV>
          <wp:extent cx="798830" cy="786765"/>
          <wp:effectExtent l="0" t="0" r="1270" b="0"/>
          <wp:wrapSquare wrapText="bothSides"/>
          <wp:docPr id="1713256765"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18193D2D" w14:textId="77777777" w:rsidR="00A52152" w:rsidRDefault="00A52152" w:rsidP="00182D44">
    <w:pPr>
      <w:pStyle w:val="Header"/>
      <w:jc w:val="right"/>
      <w:rPr>
        <w:rFonts w:ascii="Cambria" w:hAnsi="Cambria"/>
        <w:caps/>
        <w:color w:val="4A66AC" w:themeColor="accent1"/>
        <w:spacing w:val="40"/>
      </w:rPr>
    </w:pPr>
    <w:r>
      <w:rPr>
        <w:rFonts w:ascii="Cambria" w:hAnsi="Cambria"/>
        <w:caps/>
        <w:color w:val="4A66AC" w:themeColor="accent1"/>
        <w:spacing w:val="40"/>
      </w:rPr>
      <w:t>Audited financial statements</w:t>
    </w:r>
  </w:p>
  <w:p w14:paraId="64862634" w14:textId="39D589B2" w:rsidR="00A52152" w:rsidRPr="0094473A" w:rsidRDefault="00A52152" w:rsidP="00B41CD5">
    <w:pPr>
      <w:pStyle w:val="Header"/>
      <w:jc w:val="right"/>
      <w:rPr>
        <w:rFonts w:ascii="Cambria" w:hAnsi="Cambria"/>
        <w:caps/>
      </w:rPr>
    </w:pPr>
    <w:r>
      <w:rPr>
        <w:rFonts w:ascii="Cambria" w:hAnsi="Cambria"/>
        <w:caps/>
        <w:color w:val="4A66AC" w:themeColor="accent1"/>
        <w:spacing w:val="40"/>
      </w:rPr>
      <w:t>statement of net cost</w:t>
    </w:r>
    <w:r w:rsidRPr="00182D44">
      <w:rPr>
        <w:rFonts w:ascii="Cambria" w:hAnsi="Cambria"/>
        <w:b/>
        <w:bCs/>
        <w:caps/>
        <w:noProof/>
        <w:color w:val="4A66AC" w:themeColor="accent1"/>
        <w:spacing w:val="40"/>
      </w:rPr>
      <mc:AlternateContent>
        <mc:Choice Requires="wps">
          <w:drawing>
            <wp:anchor distT="0" distB="0" distL="114300" distR="114300" simplePos="0" relativeHeight="251761664" behindDoc="0" locked="0" layoutInCell="1" allowOverlap="1" wp14:anchorId="01305CE5" wp14:editId="37686727">
              <wp:simplePos x="0" y="0"/>
              <wp:positionH relativeFrom="page">
                <wp:posOffset>-76200</wp:posOffset>
              </wp:positionH>
              <wp:positionV relativeFrom="page">
                <wp:posOffset>1085850</wp:posOffset>
              </wp:positionV>
              <wp:extent cx="7848600" cy="0"/>
              <wp:effectExtent l="0" t="19050" r="19050" b="19050"/>
              <wp:wrapNone/>
              <wp:docPr id="1395670637"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845064" id="Straight Connector 20" o:spid="_x0000_s1026" style="position:absolute;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223FF" w14:textId="77777777" w:rsidR="00A52152" w:rsidRDefault="00A52152"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63712" behindDoc="0" locked="0" layoutInCell="1" allowOverlap="1" wp14:anchorId="786867E0" wp14:editId="5865E772">
          <wp:simplePos x="0" y="0"/>
          <wp:positionH relativeFrom="page">
            <wp:posOffset>578959</wp:posOffset>
          </wp:positionH>
          <wp:positionV relativeFrom="page">
            <wp:posOffset>186055</wp:posOffset>
          </wp:positionV>
          <wp:extent cx="798830" cy="786765"/>
          <wp:effectExtent l="0" t="0" r="1270" b="0"/>
          <wp:wrapSquare wrapText="bothSides"/>
          <wp:docPr id="16072230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758BDBDA" w14:textId="77777777" w:rsidR="00A52152" w:rsidRDefault="00A52152" w:rsidP="00182D44">
    <w:pPr>
      <w:pStyle w:val="Header"/>
      <w:jc w:val="right"/>
      <w:rPr>
        <w:rFonts w:ascii="Cambria" w:hAnsi="Cambria"/>
        <w:caps/>
        <w:color w:val="4A66AC" w:themeColor="accent1"/>
        <w:spacing w:val="40"/>
      </w:rPr>
    </w:pPr>
    <w:r>
      <w:rPr>
        <w:rFonts w:ascii="Cambria" w:hAnsi="Cambria"/>
        <w:caps/>
        <w:color w:val="4A66AC" w:themeColor="accent1"/>
        <w:spacing w:val="40"/>
      </w:rPr>
      <w:t>Audited financial statements</w:t>
    </w:r>
  </w:p>
  <w:p w14:paraId="33AFC013" w14:textId="501047D5" w:rsidR="00A52152" w:rsidRPr="0094473A" w:rsidRDefault="00A52152" w:rsidP="00B41CD5">
    <w:pPr>
      <w:pStyle w:val="Header"/>
      <w:jc w:val="right"/>
      <w:rPr>
        <w:rFonts w:ascii="Cambria" w:hAnsi="Cambria"/>
        <w:caps/>
      </w:rPr>
    </w:pPr>
    <w:r>
      <w:rPr>
        <w:rFonts w:ascii="Cambria" w:hAnsi="Cambria"/>
        <w:caps/>
        <w:color w:val="4A66AC" w:themeColor="accent1"/>
        <w:spacing w:val="40"/>
      </w:rPr>
      <w:t>statement of changes in net po</w:t>
    </w:r>
    <w:r w:rsidR="002421FB">
      <w:rPr>
        <w:rFonts w:ascii="Cambria" w:hAnsi="Cambria"/>
        <w:caps/>
        <w:color w:val="4A66AC" w:themeColor="accent1"/>
        <w:spacing w:val="40"/>
      </w:rPr>
      <w:t>s</w:t>
    </w:r>
    <w:r>
      <w:rPr>
        <w:rFonts w:ascii="Cambria" w:hAnsi="Cambria"/>
        <w:caps/>
        <w:color w:val="4A66AC" w:themeColor="accent1"/>
        <w:spacing w:val="40"/>
      </w:rPr>
      <w:t>ition</w:t>
    </w:r>
    <w:r w:rsidRPr="00182D44">
      <w:rPr>
        <w:rFonts w:ascii="Cambria" w:hAnsi="Cambria"/>
        <w:b/>
        <w:bCs/>
        <w:caps/>
        <w:noProof/>
        <w:color w:val="4A66AC" w:themeColor="accent1"/>
        <w:spacing w:val="40"/>
      </w:rPr>
      <mc:AlternateContent>
        <mc:Choice Requires="wps">
          <w:drawing>
            <wp:anchor distT="0" distB="0" distL="114300" distR="114300" simplePos="0" relativeHeight="251764736" behindDoc="0" locked="0" layoutInCell="1" allowOverlap="1" wp14:anchorId="586CEFFB" wp14:editId="663F5BC7">
              <wp:simplePos x="0" y="0"/>
              <wp:positionH relativeFrom="page">
                <wp:posOffset>-76200</wp:posOffset>
              </wp:positionH>
              <wp:positionV relativeFrom="page">
                <wp:posOffset>1085850</wp:posOffset>
              </wp:positionV>
              <wp:extent cx="7848600" cy="0"/>
              <wp:effectExtent l="0" t="19050" r="19050" b="19050"/>
              <wp:wrapNone/>
              <wp:docPr id="1220515304"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5BB571" id="Straight Connector 20" o:spid="_x0000_s1026" style="position:absolute;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B5537" w14:textId="77777777" w:rsidR="002421FB" w:rsidRDefault="002421FB"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66784" behindDoc="0" locked="0" layoutInCell="1" allowOverlap="1" wp14:anchorId="76AEB152" wp14:editId="26D58CF4">
          <wp:simplePos x="0" y="0"/>
          <wp:positionH relativeFrom="page">
            <wp:posOffset>578959</wp:posOffset>
          </wp:positionH>
          <wp:positionV relativeFrom="page">
            <wp:posOffset>186055</wp:posOffset>
          </wp:positionV>
          <wp:extent cx="798830" cy="786765"/>
          <wp:effectExtent l="0" t="0" r="1270" b="0"/>
          <wp:wrapSquare wrapText="bothSides"/>
          <wp:docPr id="1272452019"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1600D8E7" w14:textId="77777777" w:rsidR="002421FB" w:rsidRDefault="002421FB" w:rsidP="00182D44">
    <w:pPr>
      <w:pStyle w:val="Header"/>
      <w:jc w:val="right"/>
      <w:rPr>
        <w:rFonts w:ascii="Cambria" w:hAnsi="Cambria"/>
        <w:caps/>
        <w:color w:val="4A66AC" w:themeColor="accent1"/>
        <w:spacing w:val="40"/>
      </w:rPr>
    </w:pPr>
    <w:r>
      <w:rPr>
        <w:rFonts w:ascii="Cambria" w:hAnsi="Cambria"/>
        <w:caps/>
        <w:color w:val="4A66AC" w:themeColor="accent1"/>
        <w:spacing w:val="40"/>
      </w:rPr>
      <w:t>Audited financial statements</w:t>
    </w:r>
  </w:p>
  <w:p w14:paraId="11CCBE56" w14:textId="1BA08BE0" w:rsidR="002421FB" w:rsidRPr="0094473A" w:rsidRDefault="002421FB" w:rsidP="00B41CD5">
    <w:pPr>
      <w:pStyle w:val="Header"/>
      <w:jc w:val="right"/>
      <w:rPr>
        <w:rFonts w:ascii="Cambria" w:hAnsi="Cambria"/>
        <w:caps/>
      </w:rPr>
    </w:pPr>
    <w:r>
      <w:rPr>
        <w:rFonts w:ascii="Cambria" w:hAnsi="Cambria"/>
        <w:caps/>
        <w:color w:val="4A66AC" w:themeColor="accent1"/>
        <w:spacing w:val="40"/>
      </w:rPr>
      <w:t>statement of budgetary resources</w:t>
    </w:r>
    <w:r w:rsidRPr="00182D44">
      <w:rPr>
        <w:rFonts w:ascii="Cambria" w:hAnsi="Cambria"/>
        <w:b/>
        <w:bCs/>
        <w:caps/>
        <w:noProof/>
        <w:color w:val="4A66AC" w:themeColor="accent1"/>
        <w:spacing w:val="40"/>
      </w:rPr>
      <mc:AlternateContent>
        <mc:Choice Requires="wps">
          <w:drawing>
            <wp:anchor distT="0" distB="0" distL="114300" distR="114300" simplePos="0" relativeHeight="251767808" behindDoc="0" locked="0" layoutInCell="1" allowOverlap="1" wp14:anchorId="698D3159" wp14:editId="68AB12D3">
              <wp:simplePos x="0" y="0"/>
              <wp:positionH relativeFrom="page">
                <wp:posOffset>-76200</wp:posOffset>
              </wp:positionH>
              <wp:positionV relativeFrom="page">
                <wp:posOffset>1085850</wp:posOffset>
              </wp:positionV>
              <wp:extent cx="7848600" cy="0"/>
              <wp:effectExtent l="0" t="19050" r="19050" b="19050"/>
              <wp:wrapNone/>
              <wp:docPr id="71372421"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36BB5D" id="Straight Connector 20" o:spid="_x0000_s1026" style="position:absolute;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6FDF3" w14:textId="77777777" w:rsidR="002421FB" w:rsidRDefault="002421FB"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69856" behindDoc="0" locked="0" layoutInCell="1" allowOverlap="1" wp14:anchorId="46CD7823" wp14:editId="5386A41D">
          <wp:simplePos x="0" y="0"/>
          <wp:positionH relativeFrom="page">
            <wp:posOffset>578959</wp:posOffset>
          </wp:positionH>
          <wp:positionV relativeFrom="page">
            <wp:posOffset>186055</wp:posOffset>
          </wp:positionV>
          <wp:extent cx="798830" cy="786765"/>
          <wp:effectExtent l="0" t="0" r="1270" b="0"/>
          <wp:wrapSquare wrapText="bothSides"/>
          <wp:docPr id="1825498127"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color w:val="4A66AC" w:themeColor="accent1"/>
        <w:spacing w:val="40"/>
      </w:rPr>
      <w:t>FINANCIAL SECTION</w:t>
    </w:r>
  </w:p>
  <w:p w14:paraId="18747587" w14:textId="75DFB969" w:rsidR="002421FB" w:rsidRPr="0094473A" w:rsidRDefault="002421FB" w:rsidP="00B41CD5">
    <w:pPr>
      <w:pStyle w:val="Header"/>
      <w:jc w:val="right"/>
      <w:rPr>
        <w:rFonts w:ascii="Cambria" w:hAnsi="Cambria"/>
        <w:caps/>
      </w:rPr>
    </w:pPr>
    <w:r>
      <w:rPr>
        <w:rFonts w:ascii="Cambria" w:hAnsi="Cambria"/>
        <w:caps/>
        <w:color w:val="4A66AC" w:themeColor="accent1"/>
        <w:spacing w:val="40"/>
      </w:rPr>
      <w:t>Notes to the financial statements</w:t>
    </w:r>
    <w:r w:rsidRPr="00182D44">
      <w:rPr>
        <w:rFonts w:ascii="Cambria" w:hAnsi="Cambria"/>
        <w:b/>
        <w:bCs/>
        <w:caps/>
        <w:noProof/>
        <w:color w:val="4A66AC" w:themeColor="accent1"/>
        <w:spacing w:val="40"/>
      </w:rPr>
      <mc:AlternateContent>
        <mc:Choice Requires="wps">
          <w:drawing>
            <wp:anchor distT="0" distB="0" distL="114300" distR="114300" simplePos="0" relativeHeight="251770880" behindDoc="0" locked="0" layoutInCell="1" allowOverlap="1" wp14:anchorId="6F52DEB9" wp14:editId="59375884">
              <wp:simplePos x="0" y="0"/>
              <wp:positionH relativeFrom="page">
                <wp:posOffset>-76200</wp:posOffset>
              </wp:positionH>
              <wp:positionV relativeFrom="page">
                <wp:posOffset>1085850</wp:posOffset>
              </wp:positionV>
              <wp:extent cx="7848600" cy="0"/>
              <wp:effectExtent l="0" t="19050" r="19050" b="19050"/>
              <wp:wrapNone/>
              <wp:docPr id="136370516"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5BE8C" id="Straight Connector 20" o:spid="_x0000_s1026" style="position:absolute;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DE0A5" w14:textId="56FDCE22" w:rsidR="00B41CD5" w:rsidRPr="00182D44" w:rsidRDefault="007A28F2" w:rsidP="00290378">
    <w:pPr>
      <w:pStyle w:val="Header"/>
      <w:jc w:val="right"/>
      <w:rPr>
        <w:rFonts w:ascii="Cambria" w:hAnsi="Cambria"/>
        <w:b/>
        <w:bCs/>
        <w:caps/>
        <w:spacing w:val="40"/>
      </w:rPr>
    </w:pPr>
    <w:r w:rsidRPr="00182D44">
      <w:rPr>
        <w:rFonts w:ascii="Cambria" w:hAnsi="Cambria"/>
        <w:b/>
        <w:bCs/>
        <w:caps/>
        <w:noProof/>
        <w:color w:val="4A66AC" w:themeColor="accent1"/>
        <w:spacing w:val="40"/>
      </w:rPr>
      <w:drawing>
        <wp:anchor distT="0" distB="0" distL="114300" distR="114300" simplePos="0" relativeHeight="251700224" behindDoc="0" locked="0" layoutInCell="1" allowOverlap="1" wp14:anchorId="1B94CA24" wp14:editId="59993608">
          <wp:simplePos x="0" y="0"/>
          <wp:positionH relativeFrom="page">
            <wp:posOffset>539086</wp:posOffset>
          </wp:positionH>
          <wp:positionV relativeFrom="page">
            <wp:posOffset>153670</wp:posOffset>
          </wp:positionV>
          <wp:extent cx="798830" cy="786765"/>
          <wp:effectExtent l="0" t="0" r="1270" b="0"/>
          <wp:wrapSquare wrapText="bothSides"/>
          <wp:docPr id="208683495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699200" behindDoc="0" locked="0" layoutInCell="1" allowOverlap="1" wp14:anchorId="32BFB9AC" wp14:editId="1A92C113">
              <wp:simplePos x="0" y="0"/>
              <wp:positionH relativeFrom="page">
                <wp:posOffset>11430</wp:posOffset>
              </wp:positionH>
              <wp:positionV relativeFrom="page">
                <wp:posOffset>1101725</wp:posOffset>
              </wp:positionV>
              <wp:extent cx="7782560" cy="0"/>
              <wp:effectExtent l="0" t="19050" r="27940" b="19050"/>
              <wp:wrapNone/>
              <wp:docPr id="1483411769" name="Straight Connector 20"/>
              <wp:cNvGraphicFramePr/>
              <a:graphic xmlns:a="http://schemas.openxmlformats.org/drawingml/2006/main">
                <a:graphicData uri="http://schemas.microsoft.com/office/word/2010/wordprocessingShape">
                  <wps:wsp>
                    <wps:cNvCnPr/>
                    <wps:spPr>
                      <a:xfrm>
                        <a:off x="0" y="0"/>
                        <a:ext cx="778256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E131B" id="Straight Connector 20"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9pt,86.75pt" to="613.7pt,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" strokecolor="#4a66ac [3204]" strokeweight="2.25pt">
              <v:stroke joinstyle="miter"/>
              <w10:wrap anchorx="page" anchory="page"/>
            </v:line>
          </w:pict>
        </mc:Fallback>
      </mc:AlternateContent>
    </w:r>
    <w:r w:rsidR="00BE2772" w:rsidRPr="00182D44">
      <w:rPr>
        <w:rFonts w:ascii="Cambria" w:hAnsi="Cambria"/>
        <w:b/>
        <w:bCs/>
        <w:caps/>
        <w:color w:val="4A66AC" w:themeColor="accent1"/>
        <w:spacing w:val="40"/>
      </w:rPr>
      <w:t xml:space="preserve">MESSAGE FROM </w:t>
    </w:r>
    <w:r w:rsidR="00A84D23">
      <w:rPr>
        <w:rFonts w:ascii="Cambria" w:hAnsi="Cambria"/>
        <w:b/>
        <w:bCs/>
        <w:caps/>
        <w:color w:val="4A66AC" w:themeColor="accent1"/>
        <w:spacing w:val="40"/>
      </w:rPr>
      <w:t>Member Beth A. Williams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6DEE1" w14:textId="2B64A295" w:rsidR="006C14E5" w:rsidRPr="00182D44" w:rsidRDefault="006C14E5"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07392" behindDoc="0" locked="0" layoutInCell="1" allowOverlap="1" wp14:anchorId="77214210" wp14:editId="62BD2FEF">
          <wp:simplePos x="0" y="0"/>
          <wp:positionH relativeFrom="page">
            <wp:posOffset>595630</wp:posOffset>
          </wp:positionH>
          <wp:positionV relativeFrom="page">
            <wp:posOffset>185894</wp:posOffset>
          </wp:positionV>
          <wp:extent cx="798830" cy="786765"/>
          <wp:effectExtent l="0" t="0" r="1270" b="0"/>
          <wp:wrapSquare wrapText="bothSides"/>
          <wp:docPr id="2112828393"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bCs/>
        <w:caps/>
        <w:color w:val="4A66AC" w:themeColor="accent1"/>
        <w:spacing w:val="40"/>
      </w:rPr>
      <w:t>OTHER INFORMATION</w:t>
    </w:r>
  </w:p>
  <w:p w14:paraId="02646929" w14:textId="5E9D3F57" w:rsidR="002D0B8F" w:rsidRPr="0094473A" w:rsidRDefault="0056018A" w:rsidP="00B41CD5">
    <w:pPr>
      <w:pStyle w:val="Header"/>
      <w:jc w:val="right"/>
      <w:rPr>
        <w:rFonts w:ascii="Cambria" w:hAnsi="Cambria"/>
        <w:caps/>
      </w:rPr>
    </w:pPr>
    <w:r w:rsidRPr="00182D44">
      <w:rPr>
        <w:rFonts w:ascii="Cambria" w:hAnsi="Cambria"/>
        <w:b/>
        <w:bCs/>
        <w:caps/>
        <w:noProof/>
        <w:color w:val="4A66AC" w:themeColor="accent1"/>
        <w:spacing w:val="40"/>
      </w:rPr>
      <mc:AlternateContent>
        <mc:Choice Requires="wps">
          <w:drawing>
            <wp:anchor distT="0" distB="0" distL="114300" distR="114300" simplePos="0" relativeHeight="251708416" behindDoc="0" locked="0" layoutInCell="1" allowOverlap="1" wp14:anchorId="0EDF5CEC" wp14:editId="2DCBFADF">
              <wp:simplePos x="0" y="0"/>
              <wp:positionH relativeFrom="page">
                <wp:posOffset>-76200</wp:posOffset>
              </wp:positionH>
              <wp:positionV relativeFrom="page">
                <wp:posOffset>1085850</wp:posOffset>
              </wp:positionV>
              <wp:extent cx="7848600" cy="0"/>
              <wp:effectExtent l="0" t="19050" r="19050" b="19050"/>
              <wp:wrapNone/>
              <wp:docPr id="605126438"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A8123" id="Straight Connector 20" o:spid="_x0000_s1026" style="position:absolute;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77D59" w14:textId="3FB4D12A" w:rsidR="001A490D" w:rsidRDefault="001A490D" w:rsidP="00182D44">
    <w:pPr>
      <w:pStyle w:val="Header"/>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95456" behindDoc="0" locked="0" layoutInCell="1" allowOverlap="1" wp14:anchorId="0348FCAF" wp14:editId="22126904">
          <wp:simplePos x="0" y="0"/>
          <wp:positionH relativeFrom="page">
            <wp:posOffset>595630</wp:posOffset>
          </wp:positionH>
          <wp:positionV relativeFrom="page">
            <wp:posOffset>185894</wp:posOffset>
          </wp:positionV>
          <wp:extent cx="798830" cy="786765"/>
          <wp:effectExtent l="0" t="0" r="1270" b="0"/>
          <wp:wrapSquare wrapText="bothSides"/>
          <wp:docPr id="36524541"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bCs/>
        <w:caps/>
        <w:color w:val="4A66AC" w:themeColor="accent1"/>
        <w:spacing w:val="40"/>
      </w:rPr>
      <w:t>Appendi</w:t>
    </w:r>
    <w:r w:rsidR="004F6CEA">
      <w:rPr>
        <w:rFonts w:ascii="Cambria" w:hAnsi="Cambria"/>
        <w:b/>
        <w:bCs/>
        <w:caps/>
        <w:color w:val="4A66AC" w:themeColor="accent1"/>
        <w:spacing w:val="40"/>
      </w:rPr>
      <w:t>X</w:t>
    </w:r>
  </w:p>
  <w:p w14:paraId="51A072E2" w14:textId="7C94757F" w:rsidR="001A490D" w:rsidRPr="001D3AAF" w:rsidRDefault="004F6CEA" w:rsidP="00182D44">
    <w:pPr>
      <w:pStyle w:val="Header"/>
      <w:jc w:val="right"/>
      <w:rPr>
        <w:rFonts w:ascii="Cambria" w:hAnsi="Cambria"/>
        <w:caps/>
        <w:color w:val="4A66AC" w:themeColor="accent1"/>
        <w:spacing w:val="40"/>
      </w:rPr>
    </w:pPr>
    <w:r w:rsidRPr="001D3AAF">
      <w:rPr>
        <w:rFonts w:ascii="Cambria" w:hAnsi="Cambria"/>
        <w:caps/>
        <w:color w:val="4A66AC" w:themeColor="accent1"/>
        <w:spacing w:val="40"/>
      </w:rPr>
      <w:t>ABBREVIATIONS</w:t>
    </w:r>
  </w:p>
  <w:p w14:paraId="136420BF" w14:textId="77777777" w:rsidR="001A490D" w:rsidRPr="0094473A" w:rsidRDefault="001A490D" w:rsidP="00B41CD5">
    <w:pPr>
      <w:pStyle w:val="Header"/>
      <w:jc w:val="right"/>
      <w:rPr>
        <w:rFonts w:ascii="Cambria" w:hAnsi="Cambria"/>
        <w:caps/>
      </w:rPr>
    </w:pPr>
    <w:r w:rsidRPr="00182D44">
      <w:rPr>
        <w:rFonts w:ascii="Cambria" w:hAnsi="Cambria"/>
        <w:b/>
        <w:bCs/>
        <w:caps/>
        <w:noProof/>
        <w:color w:val="4A66AC" w:themeColor="accent1"/>
        <w:spacing w:val="40"/>
      </w:rPr>
      <mc:AlternateContent>
        <mc:Choice Requires="wps">
          <w:drawing>
            <wp:anchor distT="0" distB="0" distL="114300" distR="114300" simplePos="0" relativeHeight="251796480" behindDoc="0" locked="0" layoutInCell="1" allowOverlap="1" wp14:anchorId="37539513" wp14:editId="1C8AC37C">
              <wp:simplePos x="0" y="0"/>
              <wp:positionH relativeFrom="page">
                <wp:posOffset>-76200</wp:posOffset>
              </wp:positionH>
              <wp:positionV relativeFrom="page">
                <wp:posOffset>1085850</wp:posOffset>
              </wp:positionV>
              <wp:extent cx="7848600" cy="0"/>
              <wp:effectExtent l="0" t="19050" r="19050" b="19050"/>
              <wp:wrapNone/>
              <wp:docPr id="117838884" name="Straight Connector 20"/>
              <wp:cNvGraphicFramePr/>
              <a:graphic xmlns:a="http://schemas.openxmlformats.org/drawingml/2006/main">
                <a:graphicData uri="http://schemas.microsoft.com/office/word/2010/wordprocessingShape">
                  <wps:wsp>
                    <wps:cNvCnPr/>
                    <wps:spPr>
                      <a:xfrm>
                        <a:off x="0" y="0"/>
                        <a:ext cx="78486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7CD9A" id="Straight Connector 20" o:spid="_x0000_s1026" style="position:absolute;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pt,85.5pt" to="61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" strokecolor="#4a66ac [3204]" strokeweight="2.25pt">
              <v:stroke joinstyle="miter"/>
              <w10:wrap anchorx="page"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C27E7" w14:textId="081FAD54" w:rsidR="00175B4E" w:rsidRPr="00182D44" w:rsidRDefault="00FA64F4" w:rsidP="001067A6">
    <w:pPr>
      <w:pStyle w:val="Header"/>
      <w:tabs>
        <w:tab w:val="clear" w:pos="9360"/>
      </w:tabs>
      <w:ind w:right="-90"/>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693056" behindDoc="0" locked="0" layoutInCell="1" allowOverlap="1" wp14:anchorId="62228DA4" wp14:editId="6500C779">
          <wp:simplePos x="0" y="0"/>
          <wp:positionH relativeFrom="page">
            <wp:posOffset>541636</wp:posOffset>
          </wp:positionH>
          <wp:positionV relativeFrom="page">
            <wp:posOffset>178148</wp:posOffset>
          </wp:positionV>
          <wp:extent cx="799228" cy="786809"/>
          <wp:effectExtent l="0" t="0" r="1270" b="0"/>
          <wp:wrapSquare wrapText="bothSides"/>
          <wp:docPr id="278777276"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9228" cy="786809"/>
                  </a:xfrm>
                  <a:prstGeom prst="rect">
                    <a:avLst/>
                  </a:prstGeom>
                </pic:spPr>
              </pic:pic>
            </a:graphicData>
          </a:graphic>
          <wp14:sizeRelH relativeFrom="margin">
            <wp14:pctWidth>0</wp14:pctWidth>
          </wp14:sizeRelH>
          <wp14:sizeRelV relativeFrom="margin">
            <wp14:pctHeight>0</wp14:pctHeight>
          </wp14:sizeRelV>
        </wp:anchor>
      </w:drawing>
    </w:r>
    <w:r w:rsidR="00353DAF" w:rsidRPr="00182D44">
      <w:rPr>
        <w:rFonts w:ascii="Cambria" w:hAnsi="Cambria"/>
        <w:b/>
        <w:bCs/>
        <w:caps/>
        <w:noProof/>
        <w:color w:val="4A66AC" w:themeColor="accent1"/>
        <w:spacing w:val="40"/>
      </w:rPr>
      <mc:AlternateContent>
        <mc:Choice Requires="wps">
          <w:drawing>
            <wp:anchor distT="0" distB="0" distL="114300" distR="114300" simplePos="0" relativeHeight="251697152" behindDoc="0" locked="0" layoutInCell="1" allowOverlap="1" wp14:anchorId="02EA9DCA" wp14:editId="1B9CB7C6">
              <wp:simplePos x="0" y="0"/>
              <wp:positionH relativeFrom="page">
                <wp:posOffset>-664</wp:posOffset>
              </wp:positionH>
              <wp:positionV relativeFrom="page">
                <wp:posOffset>1102241</wp:posOffset>
              </wp:positionV>
              <wp:extent cx="7782560" cy="0"/>
              <wp:effectExtent l="0" t="19050" r="27940" b="19050"/>
              <wp:wrapNone/>
              <wp:docPr id="442063078" name="Straight Connector 20"/>
              <wp:cNvGraphicFramePr/>
              <a:graphic xmlns:a="http://schemas.openxmlformats.org/drawingml/2006/main">
                <a:graphicData uri="http://schemas.microsoft.com/office/word/2010/wordprocessingShape">
                  <wps:wsp>
                    <wps:cNvCnPr/>
                    <wps:spPr>
                      <a:xfrm>
                        <a:off x="0" y="0"/>
                        <a:ext cx="778256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0F5DBD" id="Straight Connector 20" o:spid="_x0000_s1026" style="position:absolute;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5pt,86.8pt" to="612.7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" strokecolor="#4a66ac [3204]" strokeweight="3pt">
              <v:stroke joinstyle="miter"/>
              <w10:wrap anchorx="page" anchory="page"/>
            </v:line>
          </w:pict>
        </mc:Fallback>
      </mc:AlternateContent>
    </w:r>
    <w:r w:rsidR="00175B4E" w:rsidRPr="00182D44">
      <w:rPr>
        <w:rFonts w:ascii="Cambria" w:hAnsi="Cambria"/>
        <w:b/>
        <w:bCs/>
        <w:caps/>
        <w:color w:val="4A66AC" w:themeColor="accent1"/>
        <w:spacing w:val="40"/>
      </w:rPr>
      <w:t>INTRODUCTION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00805" w14:textId="39A9371B" w:rsidR="00C41EF8" w:rsidRPr="00311961" w:rsidRDefault="00C41EF8" w:rsidP="00B013BF">
    <w:pPr>
      <w:pStyle w:val="Header"/>
      <w:rPr>
        <w:b/>
        <w:bCs/>
      </w:rPr>
    </w:pPr>
    <w:r w:rsidRPr="00311961">
      <w:rPr>
        <w:rFonts w:ascii="Cambria" w:hAnsi="Cambria"/>
        <w:b/>
        <w:bCs/>
        <w:caps/>
        <w:noProof/>
        <w:spacing w:val="40"/>
      </w:rPr>
      <w:drawing>
        <wp:anchor distT="0" distB="0" distL="114300" distR="114300" simplePos="0" relativeHeight="251783168" behindDoc="0" locked="0" layoutInCell="1" allowOverlap="1" wp14:anchorId="3E81D105" wp14:editId="3B54B512">
          <wp:simplePos x="0" y="0"/>
          <wp:positionH relativeFrom="page">
            <wp:posOffset>701542</wp:posOffset>
          </wp:positionH>
          <wp:positionV relativeFrom="page">
            <wp:posOffset>231775</wp:posOffset>
          </wp:positionV>
          <wp:extent cx="798830" cy="786765"/>
          <wp:effectExtent l="0" t="0" r="1270" b="0"/>
          <wp:wrapSquare wrapText="bothSides"/>
          <wp:docPr id="1494941135"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p>
  <w:p w14:paraId="711078BD" w14:textId="5D855348" w:rsidR="00C41EF8" w:rsidRPr="00311961" w:rsidRDefault="003325D6" w:rsidP="00311961">
    <w:pPr>
      <w:pStyle w:val="Header"/>
      <w:jc w:val="right"/>
      <w:rPr>
        <w:rFonts w:ascii="Cambria" w:hAnsi="Cambria"/>
        <w:b/>
        <w:bCs/>
        <w:caps/>
        <w:color w:val="4A66AC" w:themeColor="accent1"/>
        <w:spacing w:val="40"/>
      </w:rPr>
    </w:pPr>
    <w:r>
      <w:rPr>
        <w:rFonts w:ascii="Cambria" w:hAnsi="Cambria"/>
        <w:b/>
        <w:bCs/>
        <w:caps/>
        <w:color w:val="4A66AC" w:themeColor="accent1"/>
        <w:spacing w:val="40"/>
      </w:rPr>
      <w:t>Table of Contents</w:t>
    </w:r>
  </w:p>
  <w:p w14:paraId="1FF4E219" w14:textId="10A233C8" w:rsidR="00C41EF8" w:rsidRPr="00311961" w:rsidRDefault="00C41EF8">
    <w:pPr>
      <w:pStyle w:val="Header"/>
    </w:pPr>
    <w:r w:rsidRPr="00311961">
      <w:rPr>
        <w:rFonts w:ascii="Cambria" w:hAnsi="Cambria"/>
        <w:b/>
        <w:bCs/>
        <w:caps/>
        <w:noProof/>
        <w:spacing w:val="40"/>
      </w:rPr>
      <mc:AlternateContent>
        <mc:Choice Requires="wps">
          <w:drawing>
            <wp:anchor distT="0" distB="0" distL="114300" distR="114300" simplePos="0" relativeHeight="251781120" behindDoc="0" locked="0" layoutInCell="1" allowOverlap="1" wp14:anchorId="1092A13E" wp14:editId="644077ED">
              <wp:simplePos x="0" y="0"/>
              <wp:positionH relativeFrom="page">
                <wp:posOffset>-148856</wp:posOffset>
              </wp:positionH>
              <wp:positionV relativeFrom="page">
                <wp:posOffset>1124836</wp:posOffset>
              </wp:positionV>
              <wp:extent cx="7921256" cy="0"/>
              <wp:effectExtent l="0" t="19050" r="22860" b="19050"/>
              <wp:wrapNone/>
              <wp:docPr id="1046314337" name="Straight Connector 20"/>
              <wp:cNvGraphicFramePr/>
              <a:graphic xmlns:a="http://schemas.openxmlformats.org/drawingml/2006/main">
                <a:graphicData uri="http://schemas.microsoft.com/office/word/2010/wordprocessingShape">
                  <wps:wsp>
                    <wps:cNvCnPr/>
                    <wps:spPr>
                      <a:xfrm>
                        <a:off x="0" y="0"/>
                        <a:ext cx="7921256"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6538E0" id="Straight Connector 20" o:spid="_x0000_s1026" style="position:absolute;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11.7pt,88.55pt" to="612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" strokecolor="#4a66ac [3204]" strokeweight="2.25pt">
              <v:stroke joinstyle="miter"/>
              <w10:wrap anchorx="page" anchory="page"/>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9E001" w14:textId="016F04B0" w:rsidR="003325D6" w:rsidRPr="00311961" w:rsidRDefault="003325D6" w:rsidP="00B013BF">
    <w:pPr>
      <w:pStyle w:val="Header"/>
      <w:rPr>
        <w:b/>
        <w:bCs/>
      </w:rPr>
    </w:pPr>
  </w:p>
  <w:p w14:paraId="41EE67C2" w14:textId="0BD4A27B" w:rsidR="003325D6" w:rsidRPr="00311961" w:rsidRDefault="003325D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63D85" w14:textId="77777777" w:rsidR="00A47B91" w:rsidRDefault="00A47B91"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16608" behindDoc="0" locked="0" layoutInCell="1" allowOverlap="1" wp14:anchorId="47F16CB9" wp14:editId="13E4CA67">
          <wp:simplePos x="0" y="0"/>
          <wp:positionH relativeFrom="page">
            <wp:posOffset>566420</wp:posOffset>
          </wp:positionH>
          <wp:positionV relativeFrom="page">
            <wp:posOffset>178596</wp:posOffset>
          </wp:positionV>
          <wp:extent cx="798830" cy="786765"/>
          <wp:effectExtent l="0" t="0" r="1270" b="0"/>
          <wp:wrapSquare wrapText="bothSides"/>
          <wp:docPr id="84455775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17632" behindDoc="0" locked="0" layoutInCell="1" allowOverlap="1" wp14:anchorId="4B35990D" wp14:editId="623D5413">
              <wp:simplePos x="0" y="0"/>
              <wp:positionH relativeFrom="page">
                <wp:posOffset>-78180</wp:posOffset>
              </wp:positionH>
              <wp:positionV relativeFrom="page">
                <wp:posOffset>1092777</wp:posOffset>
              </wp:positionV>
              <wp:extent cx="7856517" cy="0"/>
              <wp:effectExtent l="0" t="19050" r="30480" b="19050"/>
              <wp:wrapNone/>
              <wp:docPr id="1360531976"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0C28E7" id="Straight Connector 20" o:spid="_x0000_s1026" style="position:absolute;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1CE2E82B" w14:textId="13AE44F7" w:rsidR="00A47B91" w:rsidRPr="002345D3" w:rsidRDefault="00FB12D3"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 xml:space="preserve">Mission and </w:t>
    </w:r>
    <w:r w:rsidR="00A47B91">
      <w:rPr>
        <w:rFonts w:ascii="Cambria" w:hAnsi="Cambria"/>
        <w:caps/>
        <w:color w:val="4A66AC" w:themeColor="accent1"/>
        <w:spacing w:val="40"/>
      </w:rPr>
      <w:t>organization</w:t>
    </w:r>
    <w:r>
      <w:rPr>
        <w:rFonts w:ascii="Cambria" w:hAnsi="Cambria"/>
        <w:caps/>
        <w:color w:val="4A66AC" w:themeColor="accent1"/>
        <w:spacing w:val="40"/>
      </w:rPr>
      <w:t xml:space="preserve"> Structure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BB7A4" w14:textId="77777777" w:rsidR="00916D95" w:rsidRDefault="00916D95"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89312" behindDoc="0" locked="0" layoutInCell="1" allowOverlap="1" wp14:anchorId="2C322756" wp14:editId="1B1BD4E7">
          <wp:simplePos x="0" y="0"/>
          <wp:positionH relativeFrom="page">
            <wp:posOffset>566420</wp:posOffset>
          </wp:positionH>
          <wp:positionV relativeFrom="page">
            <wp:posOffset>178596</wp:posOffset>
          </wp:positionV>
          <wp:extent cx="798830" cy="786765"/>
          <wp:effectExtent l="0" t="0" r="1270" b="0"/>
          <wp:wrapSquare wrapText="bothSides"/>
          <wp:docPr id="862461157"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90336" behindDoc="0" locked="0" layoutInCell="1" allowOverlap="1" wp14:anchorId="15C36069" wp14:editId="0356625B">
              <wp:simplePos x="0" y="0"/>
              <wp:positionH relativeFrom="page">
                <wp:posOffset>-78180</wp:posOffset>
              </wp:positionH>
              <wp:positionV relativeFrom="page">
                <wp:posOffset>1092777</wp:posOffset>
              </wp:positionV>
              <wp:extent cx="7856517" cy="0"/>
              <wp:effectExtent l="0" t="19050" r="30480" b="19050"/>
              <wp:wrapNone/>
              <wp:docPr id="1429526019"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B5C747" id="Straight Connector 20" o:spid="_x0000_s1026" style="position:absolute;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3690DF34" w14:textId="66692965" w:rsidR="00916D95" w:rsidRPr="002345D3" w:rsidRDefault="00916D95"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Financial Position and Condition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1D169" w14:textId="77777777" w:rsidR="00FD101D" w:rsidRDefault="00FD101D"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22752" behindDoc="0" locked="0" layoutInCell="1" allowOverlap="1" wp14:anchorId="265E6577" wp14:editId="0E674B8B">
          <wp:simplePos x="0" y="0"/>
          <wp:positionH relativeFrom="page">
            <wp:posOffset>566420</wp:posOffset>
          </wp:positionH>
          <wp:positionV relativeFrom="page">
            <wp:posOffset>178596</wp:posOffset>
          </wp:positionV>
          <wp:extent cx="798830" cy="786765"/>
          <wp:effectExtent l="0" t="0" r="1270" b="0"/>
          <wp:wrapSquare wrapText="bothSides"/>
          <wp:docPr id="1382576669"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23776" behindDoc="0" locked="0" layoutInCell="1" allowOverlap="1" wp14:anchorId="2BC9C7A6" wp14:editId="76FCEEF6">
              <wp:simplePos x="0" y="0"/>
              <wp:positionH relativeFrom="page">
                <wp:posOffset>-78180</wp:posOffset>
              </wp:positionH>
              <wp:positionV relativeFrom="page">
                <wp:posOffset>1092777</wp:posOffset>
              </wp:positionV>
              <wp:extent cx="7856517" cy="0"/>
              <wp:effectExtent l="0" t="19050" r="30480" b="19050"/>
              <wp:wrapNone/>
              <wp:docPr id="927206880"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FA76B8" id="Straight Connector 20" o:spid="_x0000_s1026" style="position:absolute;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282B7619" w14:textId="4FB297F3" w:rsidR="00FD101D" w:rsidRDefault="00FD101D"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 xml:space="preserve">FY </w:t>
    </w:r>
    <w:r w:rsidR="0049075B">
      <w:rPr>
        <w:rFonts w:ascii="Cambria" w:hAnsi="Cambria"/>
        <w:caps/>
        <w:color w:val="4A66AC" w:themeColor="accent1"/>
        <w:spacing w:val="40"/>
      </w:rPr>
      <w:t>2025</w:t>
    </w:r>
    <w:r>
      <w:rPr>
        <w:rFonts w:ascii="Cambria" w:hAnsi="Cambria"/>
        <w:caps/>
        <w:color w:val="4A66AC" w:themeColor="accent1"/>
        <w:spacing w:val="40"/>
      </w:rPr>
      <w:t xml:space="preserve"> </w:t>
    </w:r>
    <w:r w:rsidR="008373FB">
      <w:rPr>
        <w:rFonts w:ascii="Cambria" w:hAnsi="Cambria"/>
        <w:caps/>
        <w:color w:val="4A66AC" w:themeColor="accent1"/>
        <w:spacing w:val="40"/>
      </w:rPr>
      <w:t xml:space="preserve">Key </w:t>
    </w:r>
    <w:r>
      <w:rPr>
        <w:rFonts w:ascii="Cambria" w:hAnsi="Cambria"/>
        <w:caps/>
        <w:color w:val="4A66AC" w:themeColor="accent1"/>
        <w:spacing w:val="40"/>
      </w:rPr>
      <w:t>Performance result</w:t>
    </w:r>
    <w:r w:rsidR="008373FB">
      <w:rPr>
        <w:rFonts w:ascii="Cambria" w:hAnsi="Cambria"/>
        <w:caps/>
        <w:color w:val="4A66AC" w:themeColor="accent1"/>
        <w:spacing w:val="40"/>
      </w:rPr>
      <w:t>S</w:t>
    </w:r>
  </w:p>
  <w:p w14:paraId="04E9486E" w14:textId="6B7C1108" w:rsidR="00FD101D" w:rsidRPr="002345D3" w:rsidRDefault="00D864D5"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Mission Activities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A228C" w14:textId="77777777" w:rsidR="00606534" w:rsidRDefault="00606534" w:rsidP="00290378">
    <w:pPr>
      <w:pStyle w:val="Header"/>
      <w:tabs>
        <w:tab w:val="clear" w:pos="4680"/>
        <w:tab w:val="clear" w:pos="9360"/>
      </w:tabs>
      <w:jc w:val="right"/>
      <w:rPr>
        <w:rFonts w:ascii="Cambria" w:hAnsi="Cambria"/>
        <w:b/>
        <w:bCs/>
        <w:caps/>
        <w:color w:val="4A66AC" w:themeColor="accent1"/>
        <w:spacing w:val="40"/>
      </w:rPr>
    </w:pPr>
    <w:r w:rsidRPr="00182D44">
      <w:rPr>
        <w:rFonts w:ascii="Cambria" w:hAnsi="Cambria"/>
        <w:b/>
        <w:bCs/>
        <w:caps/>
        <w:noProof/>
        <w:color w:val="4A66AC" w:themeColor="accent1"/>
        <w:spacing w:val="40"/>
      </w:rPr>
      <w:drawing>
        <wp:anchor distT="0" distB="0" distL="114300" distR="114300" simplePos="0" relativeHeight="251735040" behindDoc="0" locked="0" layoutInCell="1" allowOverlap="1" wp14:anchorId="7B61CA97" wp14:editId="71A60E25">
          <wp:simplePos x="0" y="0"/>
          <wp:positionH relativeFrom="page">
            <wp:posOffset>566420</wp:posOffset>
          </wp:positionH>
          <wp:positionV relativeFrom="page">
            <wp:posOffset>178596</wp:posOffset>
          </wp:positionV>
          <wp:extent cx="798830" cy="786765"/>
          <wp:effectExtent l="0" t="0" r="1270" b="0"/>
          <wp:wrapSquare wrapText="bothSides"/>
          <wp:docPr id="776313152" name="Picture 21" descr="A picture containing fan,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54288" name="Picture 21" descr="A picture containing fan, devic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98830" cy="786765"/>
                  </a:xfrm>
                  <a:prstGeom prst="rect">
                    <a:avLst/>
                  </a:prstGeom>
                </pic:spPr>
              </pic:pic>
            </a:graphicData>
          </a:graphic>
          <wp14:sizeRelH relativeFrom="margin">
            <wp14:pctWidth>0</wp14:pctWidth>
          </wp14:sizeRelH>
          <wp14:sizeRelV relativeFrom="margin">
            <wp14:pctHeight>0</wp14:pctHeight>
          </wp14:sizeRelV>
        </wp:anchor>
      </w:drawing>
    </w:r>
    <w:r w:rsidRPr="00182D44">
      <w:rPr>
        <w:rFonts w:ascii="Cambria" w:hAnsi="Cambria"/>
        <w:b/>
        <w:bCs/>
        <w:caps/>
        <w:noProof/>
        <w:color w:val="4A66AC" w:themeColor="accent1"/>
        <w:spacing w:val="40"/>
      </w:rPr>
      <mc:AlternateContent>
        <mc:Choice Requires="wps">
          <w:drawing>
            <wp:anchor distT="0" distB="0" distL="114300" distR="114300" simplePos="0" relativeHeight="251736064" behindDoc="0" locked="0" layoutInCell="1" allowOverlap="1" wp14:anchorId="0A79950F" wp14:editId="75581E69">
              <wp:simplePos x="0" y="0"/>
              <wp:positionH relativeFrom="page">
                <wp:posOffset>-78180</wp:posOffset>
              </wp:positionH>
              <wp:positionV relativeFrom="page">
                <wp:posOffset>1092777</wp:posOffset>
              </wp:positionV>
              <wp:extent cx="7856517" cy="0"/>
              <wp:effectExtent l="0" t="19050" r="30480" b="19050"/>
              <wp:wrapNone/>
              <wp:docPr id="296055341" name="Straight Connector 20"/>
              <wp:cNvGraphicFramePr/>
              <a:graphic xmlns:a="http://schemas.openxmlformats.org/drawingml/2006/main">
                <a:graphicData uri="http://schemas.microsoft.com/office/word/2010/wordprocessingShape">
                  <wps:wsp>
                    <wps:cNvCnPr/>
                    <wps:spPr>
                      <a:xfrm>
                        <a:off x="0" y="0"/>
                        <a:ext cx="7856517" cy="0"/>
                      </a:xfrm>
                      <a:prstGeom prst="line">
                        <a:avLst/>
                      </a:prstGeom>
                      <a:ln w="28575"/>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F9576" id="Straight Connector 20" o:spid="_x0000_s1026" style="position:absolute;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15pt,86.05pt" to="612.4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" strokecolor="#4a66ac [3204]" strokeweight="2.25pt">
              <v:stroke joinstyle="miter"/>
              <w10:wrap anchorx="page" anchory="page"/>
            </v:line>
          </w:pict>
        </mc:Fallback>
      </mc:AlternateContent>
    </w:r>
    <w:r w:rsidRPr="00182D44">
      <w:rPr>
        <w:rFonts w:ascii="Cambria" w:hAnsi="Cambria"/>
        <w:b/>
        <w:bCs/>
        <w:caps/>
        <w:color w:val="4A66AC" w:themeColor="accent1"/>
        <w:spacing w:val="40"/>
      </w:rPr>
      <w:t>MANAGEMENT’S DISCUSSION AND ANALYSIS</w:t>
    </w:r>
  </w:p>
  <w:p w14:paraId="6B719912" w14:textId="77777777" w:rsidR="000C632C" w:rsidRDefault="000C632C"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FY 2025 Key Performance resultS</w:t>
    </w:r>
  </w:p>
  <w:p w14:paraId="7EDCE59E" w14:textId="6BC1C858" w:rsidR="00606534" w:rsidRPr="002345D3" w:rsidRDefault="00D864D5" w:rsidP="00290378">
    <w:pPr>
      <w:pStyle w:val="Header"/>
      <w:tabs>
        <w:tab w:val="clear" w:pos="4680"/>
        <w:tab w:val="clear" w:pos="9360"/>
      </w:tabs>
      <w:jc w:val="right"/>
      <w:rPr>
        <w:rFonts w:ascii="Cambria" w:hAnsi="Cambria"/>
        <w:caps/>
        <w:color w:val="4A66AC" w:themeColor="accent1"/>
        <w:spacing w:val="40"/>
      </w:rPr>
    </w:pPr>
    <w:r>
      <w:rPr>
        <w:rFonts w:ascii="Cambria" w:hAnsi="Cambria"/>
        <w:caps/>
        <w:color w:val="4A66AC" w:themeColor="accent1"/>
        <w:spacing w:val="40"/>
      </w:rPr>
      <w:t>OperationAL Activities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0534F"/>
    <w:multiLevelType w:val="hybridMultilevel"/>
    <w:tmpl w:val="0652C79E"/>
    <w:lvl w:ilvl="0" w:tplc="BB22BCC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B61AC1"/>
    <w:multiLevelType w:val="hybridMultilevel"/>
    <w:tmpl w:val="4A0C3A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F2F6C"/>
    <w:multiLevelType w:val="hybridMultilevel"/>
    <w:tmpl w:val="F7D2EA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3D15E2"/>
    <w:multiLevelType w:val="hybridMultilevel"/>
    <w:tmpl w:val="7FAA3AD2"/>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52239A"/>
    <w:multiLevelType w:val="hybridMultilevel"/>
    <w:tmpl w:val="FD44B05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AEF1A0E"/>
    <w:multiLevelType w:val="hybridMultilevel"/>
    <w:tmpl w:val="9AF2E4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24C1F9D"/>
    <w:multiLevelType w:val="hybridMultilevel"/>
    <w:tmpl w:val="1D48B3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4009DC"/>
    <w:multiLevelType w:val="hybridMultilevel"/>
    <w:tmpl w:val="CB54DD2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47634F6"/>
    <w:multiLevelType w:val="hybridMultilevel"/>
    <w:tmpl w:val="F274F4CE"/>
    <w:lvl w:ilvl="0" w:tplc="4E2AFE8C">
      <w:start w:val="1"/>
      <w:numFmt w:val="decimal"/>
      <w:lvlText w:val="%1)"/>
      <w:lvlJc w:val="left"/>
      <w:pPr>
        <w:ind w:left="1020" w:hanging="360"/>
      </w:pPr>
    </w:lvl>
    <w:lvl w:ilvl="1" w:tplc="D67845C0">
      <w:start w:val="1"/>
      <w:numFmt w:val="decimal"/>
      <w:lvlText w:val="%2)"/>
      <w:lvlJc w:val="left"/>
      <w:pPr>
        <w:ind w:left="1020" w:hanging="360"/>
      </w:pPr>
    </w:lvl>
    <w:lvl w:ilvl="2" w:tplc="6D745F64">
      <w:start w:val="1"/>
      <w:numFmt w:val="decimal"/>
      <w:lvlText w:val="%3)"/>
      <w:lvlJc w:val="left"/>
      <w:pPr>
        <w:ind w:left="1020" w:hanging="360"/>
      </w:pPr>
    </w:lvl>
    <w:lvl w:ilvl="3" w:tplc="0D165300">
      <w:start w:val="1"/>
      <w:numFmt w:val="decimal"/>
      <w:lvlText w:val="%4)"/>
      <w:lvlJc w:val="left"/>
      <w:pPr>
        <w:ind w:left="1020" w:hanging="360"/>
      </w:pPr>
    </w:lvl>
    <w:lvl w:ilvl="4" w:tplc="8F8C61E6">
      <w:start w:val="1"/>
      <w:numFmt w:val="decimal"/>
      <w:lvlText w:val="%5)"/>
      <w:lvlJc w:val="left"/>
      <w:pPr>
        <w:ind w:left="1020" w:hanging="360"/>
      </w:pPr>
    </w:lvl>
    <w:lvl w:ilvl="5" w:tplc="0E8A32FC">
      <w:start w:val="1"/>
      <w:numFmt w:val="decimal"/>
      <w:lvlText w:val="%6)"/>
      <w:lvlJc w:val="left"/>
      <w:pPr>
        <w:ind w:left="1020" w:hanging="360"/>
      </w:pPr>
    </w:lvl>
    <w:lvl w:ilvl="6" w:tplc="50E48B04">
      <w:start w:val="1"/>
      <w:numFmt w:val="decimal"/>
      <w:lvlText w:val="%7)"/>
      <w:lvlJc w:val="left"/>
      <w:pPr>
        <w:ind w:left="1020" w:hanging="360"/>
      </w:pPr>
    </w:lvl>
    <w:lvl w:ilvl="7" w:tplc="B14A06CC">
      <w:start w:val="1"/>
      <w:numFmt w:val="decimal"/>
      <w:lvlText w:val="%8)"/>
      <w:lvlJc w:val="left"/>
      <w:pPr>
        <w:ind w:left="1020" w:hanging="360"/>
      </w:pPr>
    </w:lvl>
    <w:lvl w:ilvl="8" w:tplc="0C2C437C">
      <w:start w:val="1"/>
      <w:numFmt w:val="decimal"/>
      <w:lvlText w:val="%9)"/>
      <w:lvlJc w:val="left"/>
      <w:pPr>
        <w:ind w:left="1020" w:hanging="360"/>
      </w:pPr>
    </w:lvl>
  </w:abstractNum>
  <w:abstractNum w:abstractNumId="9" w15:restartNumberingAfterBreak="0">
    <w:nsid w:val="15411894"/>
    <w:multiLevelType w:val="hybridMultilevel"/>
    <w:tmpl w:val="E1AAB59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66847A5"/>
    <w:multiLevelType w:val="hybridMultilevel"/>
    <w:tmpl w:val="F0A80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292AD9"/>
    <w:multiLevelType w:val="hybridMultilevel"/>
    <w:tmpl w:val="252C66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7890B36"/>
    <w:multiLevelType w:val="hybridMultilevel"/>
    <w:tmpl w:val="D514E052"/>
    <w:lvl w:ilvl="0" w:tplc="0409000B">
      <w:start w:val="1"/>
      <w:numFmt w:val="bullet"/>
      <w:lvlText w:val=""/>
      <w:lvlJc w:val="left"/>
      <w:pPr>
        <w:ind w:left="720" w:hanging="360"/>
      </w:pPr>
      <w:rPr>
        <w:rFonts w:ascii="Wingdings" w:hAnsi="Wingdings" w:hint="default"/>
      </w:rPr>
    </w:lvl>
    <w:lvl w:ilvl="1" w:tplc="9BD485C6">
      <w:start w:val="1"/>
      <w:numFmt w:val="bullet"/>
      <w:lvlText w:val=""/>
      <w:lvlJc w:val="left"/>
      <w:pPr>
        <w:ind w:left="1440" w:hanging="360"/>
      </w:pPr>
      <w:rPr>
        <w:rFonts w:ascii="Wingdings" w:hAnsi="Wingdings" w:hint="default"/>
        <w:color w:val="000000" w:themeColor="text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D25CB4"/>
    <w:multiLevelType w:val="hybridMultilevel"/>
    <w:tmpl w:val="08805B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1A3F3C"/>
    <w:multiLevelType w:val="hybridMultilevel"/>
    <w:tmpl w:val="DBD88600"/>
    <w:lvl w:ilvl="0" w:tplc="2886E6A4">
      <w:start w:val="1"/>
      <w:numFmt w:val="bullet"/>
      <w:lvlText w:val=""/>
      <w:lvlJc w:val="left"/>
      <w:pPr>
        <w:ind w:left="720" w:hanging="360"/>
      </w:pPr>
      <w:rPr>
        <w:rFonts w:ascii="Wingdings" w:hAnsi="Wingdings" w:hint="default"/>
        <w:color w:val="auto"/>
      </w:rPr>
    </w:lvl>
    <w:lvl w:ilvl="1" w:tplc="FFFFFFFF">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C97081B"/>
    <w:multiLevelType w:val="hybridMultilevel"/>
    <w:tmpl w:val="48E606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E3113B"/>
    <w:multiLevelType w:val="hybridMultilevel"/>
    <w:tmpl w:val="890C199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FE70886"/>
    <w:multiLevelType w:val="hybridMultilevel"/>
    <w:tmpl w:val="69A44B20"/>
    <w:lvl w:ilvl="0" w:tplc="87625606">
      <w:start w:val="1"/>
      <w:numFmt w:val="decimal"/>
      <w:lvlText w:val="%1)"/>
      <w:lvlJc w:val="left"/>
      <w:pPr>
        <w:ind w:left="1020" w:hanging="360"/>
      </w:pPr>
    </w:lvl>
    <w:lvl w:ilvl="1" w:tplc="AB5C7358">
      <w:start w:val="1"/>
      <w:numFmt w:val="decimal"/>
      <w:lvlText w:val="%2)"/>
      <w:lvlJc w:val="left"/>
      <w:pPr>
        <w:ind w:left="1020" w:hanging="360"/>
      </w:pPr>
    </w:lvl>
    <w:lvl w:ilvl="2" w:tplc="62CC9D84">
      <w:start w:val="1"/>
      <w:numFmt w:val="decimal"/>
      <w:lvlText w:val="%3)"/>
      <w:lvlJc w:val="left"/>
      <w:pPr>
        <w:ind w:left="1020" w:hanging="360"/>
      </w:pPr>
    </w:lvl>
    <w:lvl w:ilvl="3" w:tplc="3F5C0DEE">
      <w:start w:val="1"/>
      <w:numFmt w:val="decimal"/>
      <w:lvlText w:val="%4)"/>
      <w:lvlJc w:val="left"/>
      <w:pPr>
        <w:ind w:left="1020" w:hanging="360"/>
      </w:pPr>
    </w:lvl>
    <w:lvl w:ilvl="4" w:tplc="ADBEFD68">
      <w:start w:val="1"/>
      <w:numFmt w:val="decimal"/>
      <w:lvlText w:val="%5)"/>
      <w:lvlJc w:val="left"/>
      <w:pPr>
        <w:ind w:left="1020" w:hanging="360"/>
      </w:pPr>
    </w:lvl>
    <w:lvl w:ilvl="5" w:tplc="1CBA5F38">
      <w:start w:val="1"/>
      <w:numFmt w:val="decimal"/>
      <w:lvlText w:val="%6)"/>
      <w:lvlJc w:val="left"/>
      <w:pPr>
        <w:ind w:left="1020" w:hanging="360"/>
      </w:pPr>
    </w:lvl>
    <w:lvl w:ilvl="6" w:tplc="3BA0D66E">
      <w:start w:val="1"/>
      <w:numFmt w:val="decimal"/>
      <w:lvlText w:val="%7)"/>
      <w:lvlJc w:val="left"/>
      <w:pPr>
        <w:ind w:left="1020" w:hanging="360"/>
      </w:pPr>
    </w:lvl>
    <w:lvl w:ilvl="7" w:tplc="BAF022AE">
      <w:start w:val="1"/>
      <w:numFmt w:val="decimal"/>
      <w:lvlText w:val="%8)"/>
      <w:lvlJc w:val="left"/>
      <w:pPr>
        <w:ind w:left="1020" w:hanging="360"/>
      </w:pPr>
    </w:lvl>
    <w:lvl w:ilvl="8" w:tplc="BB506BD8">
      <w:start w:val="1"/>
      <w:numFmt w:val="decimal"/>
      <w:lvlText w:val="%9)"/>
      <w:lvlJc w:val="left"/>
      <w:pPr>
        <w:ind w:left="1020" w:hanging="360"/>
      </w:pPr>
    </w:lvl>
  </w:abstractNum>
  <w:abstractNum w:abstractNumId="18" w15:restartNumberingAfterBreak="0">
    <w:nsid w:val="267040F7"/>
    <w:multiLevelType w:val="hybridMultilevel"/>
    <w:tmpl w:val="F85A5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BB6236"/>
    <w:multiLevelType w:val="hybridMultilevel"/>
    <w:tmpl w:val="D586262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7F75B44"/>
    <w:multiLevelType w:val="hybridMultilevel"/>
    <w:tmpl w:val="8E62E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857D57"/>
    <w:multiLevelType w:val="hybridMultilevel"/>
    <w:tmpl w:val="E23CC3CC"/>
    <w:lvl w:ilvl="0" w:tplc="04090005">
      <w:start w:val="1"/>
      <w:numFmt w:val="bullet"/>
      <w:lvlText w:val=""/>
      <w:lvlJc w:val="left"/>
      <w:pPr>
        <w:ind w:left="720" w:hanging="360"/>
      </w:pPr>
      <w:rPr>
        <w:rFonts w:ascii="Wingdings" w:hAnsi="Wingdings" w:hint="default"/>
        <w:color w:val="auto"/>
      </w:rPr>
    </w:lvl>
    <w:lvl w:ilvl="1" w:tplc="FFFFFFFF">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9F1329F"/>
    <w:multiLevelType w:val="hybridMultilevel"/>
    <w:tmpl w:val="484AAB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9A62E4"/>
    <w:multiLevelType w:val="hybridMultilevel"/>
    <w:tmpl w:val="9B48A4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D06B21"/>
    <w:multiLevelType w:val="hybridMultilevel"/>
    <w:tmpl w:val="DF1CE5B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4B004C8"/>
    <w:multiLevelType w:val="hybridMultilevel"/>
    <w:tmpl w:val="BE3ED2AC"/>
    <w:lvl w:ilvl="0" w:tplc="0409000B">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34F01435"/>
    <w:multiLevelType w:val="hybridMultilevel"/>
    <w:tmpl w:val="65E2200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57E6867"/>
    <w:multiLevelType w:val="hybridMultilevel"/>
    <w:tmpl w:val="CC4E7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6F0E52"/>
    <w:multiLevelType w:val="hybridMultilevel"/>
    <w:tmpl w:val="0E66C52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AE63FFF"/>
    <w:multiLevelType w:val="hybridMultilevel"/>
    <w:tmpl w:val="66C2911E"/>
    <w:lvl w:ilvl="0" w:tplc="D9DED890">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AF3636"/>
    <w:multiLevelType w:val="hybridMultilevel"/>
    <w:tmpl w:val="F386E1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B95273"/>
    <w:multiLevelType w:val="hybridMultilevel"/>
    <w:tmpl w:val="CC8C9D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3DFA541A"/>
    <w:multiLevelType w:val="hybridMultilevel"/>
    <w:tmpl w:val="C45EC1CC"/>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F154AEB"/>
    <w:multiLevelType w:val="hybridMultilevel"/>
    <w:tmpl w:val="013C9CF4"/>
    <w:lvl w:ilvl="0" w:tplc="AE1283B4">
      <w:start w:val="1"/>
      <w:numFmt w:val="bullet"/>
      <w:lvlText w:val=""/>
      <w:lvlJc w:val="left"/>
      <w:pPr>
        <w:ind w:left="720" w:hanging="360"/>
      </w:pPr>
      <w:rPr>
        <w:rFonts w:ascii="Wingdings" w:hAnsi="Wingdings"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C04E7A"/>
    <w:multiLevelType w:val="hybridMultilevel"/>
    <w:tmpl w:val="951E09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13E244D"/>
    <w:multiLevelType w:val="hybridMultilevel"/>
    <w:tmpl w:val="C41E38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2805C3F"/>
    <w:multiLevelType w:val="hybridMultilevel"/>
    <w:tmpl w:val="6AA6C7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935FA2"/>
    <w:multiLevelType w:val="hybridMultilevel"/>
    <w:tmpl w:val="CAF250C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46491CD5"/>
    <w:multiLevelType w:val="hybridMultilevel"/>
    <w:tmpl w:val="7666A2D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65868CD"/>
    <w:multiLevelType w:val="hybridMultilevel"/>
    <w:tmpl w:val="12E2C150"/>
    <w:lvl w:ilvl="0" w:tplc="AA7859FC">
      <w:start w:val="1"/>
      <w:numFmt w:val="bullet"/>
      <w:lvlText w:val=""/>
      <w:lvlJc w:val="left"/>
      <w:pPr>
        <w:ind w:left="720" w:hanging="360"/>
      </w:pPr>
      <w:rPr>
        <w:rFonts w:ascii="Wingdings" w:hAnsi="Wingdings" w:hint="default"/>
        <w:color w:val="FFFFFF" w:themeColor="background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8B80F67"/>
    <w:multiLevelType w:val="hybridMultilevel"/>
    <w:tmpl w:val="20ACA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631F02"/>
    <w:multiLevelType w:val="hybridMultilevel"/>
    <w:tmpl w:val="94701FFC"/>
    <w:lvl w:ilvl="0" w:tplc="3DCE859E">
      <w:start w:val="1"/>
      <w:numFmt w:val="bullet"/>
      <w:lvlText w:val=""/>
      <w:lvlJc w:val="left"/>
      <w:pPr>
        <w:ind w:left="720" w:hanging="360"/>
      </w:pPr>
      <w:rPr>
        <w:rFonts w:ascii="Wingdings" w:hAnsi="Wingdings" w:hint="default"/>
        <w:color w:val="auto"/>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9C42E92"/>
    <w:multiLevelType w:val="hybridMultilevel"/>
    <w:tmpl w:val="2DFC9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AAE2D9F"/>
    <w:multiLevelType w:val="hybridMultilevel"/>
    <w:tmpl w:val="D3DC5B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9379F8"/>
    <w:multiLevelType w:val="hybridMultilevel"/>
    <w:tmpl w:val="E7646AD4"/>
    <w:lvl w:ilvl="0" w:tplc="AF92FA1C">
      <w:start w:val="1"/>
      <w:numFmt w:val="decimal"/>
      <w:lvlText w:val="%1)"/>
      <w:lvlJc w:val="left"/>
      <w:pPr>
        <w:ind w:left="720" w:hanging="360"/>
      </w:pPr>
    </w:lvl>
    <w:lvl w:ilvl="1" w:tplc="C720AF02">
      <w:start w:val="1"/>
      <w:numFmt w:val="decimal"/>
      <w:lvlText w:val="%2)"/>
      <w:lvlJc w:val="left"/>
      <w:pPr>
        <w:ind w:left="720" w:hanging="360"/>
      </w:pPr>
    </w:lvl>
    <w:lvl w:ilvl="2" w:tplc="96E8E6B2">
      <w:start w:val="1"/>
      <w:numFmt w:val="decimal"/>
      <w:lvlText w:val="%3)"/>
      <w:lvlJc w:val="left"/>
      <w:pPr>
        <w:ind w:left="720" w:hanging="360"/>
      </w:pPr>
    </w:lvl>
    <w:lvl w:ilvl="3" w:tplc="EC669D2E">
      <w:start w:val="1"/>
      <w:numFmt w:val="decimal"/>
      <w:lvlText w:val="%4)"/>
      <w:lvlJc w:val="left"/>
      <w:pPr>
        <w:ind w:left="720" w:hanging="360"/>
      </w:pPr>
    </w:lvl>
    <w:lvl w:ilvl="4" w:tplc="56402B36">
      <w:start w:val="1"/>
      <w:numFmt w:val="decimal"/>
      <w:lvlText w:val="%5)"/>
      <w:lvlJc w:val="left"/>
      <w:pPr>
        <w:ind w:left="720" w:hanging="360"/>
      </w:pPr>
    </w:lvl>
    <w:lvl w:ilvl="5" w:tplc="0922B904">
      <w:start w:val="1"/>
      <w:numFmt w:val="decimal"/>
      <w:lvlText w:val="%6)"/>
      <w:lvlJc w:val="left"/>
      <w:pPr>
        <w:ind w:left="720" w:hanging="360"/>
      </w:pPr>
    </w:lvl>
    <w:lvl w:ilvl="6" w:tplc="7D3611DE">
      <w:start w:val="1"/>
      <w:numFmt w:val="decimal"/>
      <w:lvlText w:val="%7)"/>
      <w:lvlJc w:val="left"/>
      <w:pPr>
        <w:ind w:left="720" w:hanging="360"/>
      </w:pPr>
    </w:lvl>
    <w:lvl w:ilvl="7" w:tplc="BE0C7F48">
      <w:start w:val="1"/>
      <w:numFmt w:val="decimal"/>
      <w:lvlText w:val="%8)"/>
      <w:lvlJc w:val="left"/>
      <w:pPr>
        <w:ind w:left="720" w:hanging="360"/>
      </w:pPr>
    </w:lvl>
    <w:lvl w:ilvl="8" w:tplc="58E6FB72">
      <w:start w:val="1"/>
      <w:numFmt w:val="decimal"/>
      <w:lvlText w:val="%9)"/>
      <w:lvlJc w:val="left"/>
      <w:pPr>
        <w:ind w:left="720" w:hanging="360"/>
      </w:pPr>
    </w:lvl>
  </w:abstractNum>
  <w:abstractNum w:abstractNumId="45" w15:restartNumberingAfterBreak="0">
    <w:nsid w:val="4D545BC0"/>
    <w:multiLevelType w:val="hybridMultilevel"/>
    <w:tmpl w:val="1AD4BBA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509A76BE"/>
    <w:multiLevelType w:val="hybridMultilevel"/>
    <w:tmpl w:val="4F5004B2"/>
    <w:lvl w:ilvl="0" w:tplc="9BD485C6">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22A6A85"/>
    <w:multiLevelType w:val="hybridMultilevel"/>
    <w:tmpl w:val="A33475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2647ADB"/>
    <w:multiLevelType w:val="hybridMultilevel"/>
    <w:tmpl w:val="602CFD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5C2BE1"/>
    <w:multiLevelType w:val="hybridMultilevel"/>
    <w:tmpl w:val="1C9E28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9C2B82"/>
    <w:multiLevelType w:val="hybridMultilevel"/>
    <w:tmpl w:val="B958F938"/>
    <w:lvl w:ilvl="0" w:tplc="04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56BB0AF3"/>
    <w:multiLevelType w:val="hybridMultilevel"/>
    <w:tmpl w:val="DD3AAF10"/>
    <w:lvl w:ilvl="0" w:tplc="04090005">
      <w:start w:val="1"/>
      <w:numFmt w:val="bullet"/>
      <w:lvlText w:val=""/>
      <w:lvlJc w:val="left"/>
      <w:pPr>
        <w:ind w:left="1800" w:hanging="360"/>
      </w:pPr>
      <w:rPr>
        <w:rFonts w:ascii="Wingdings" w:hAnsi="Wingdings" w:hint="default"/>
      </w:rPr>
    </w:lvl>
    <w:lvl w:ilvl="1" w:tplc="FFFFFFFF">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2" w15:restartNumberingAfterBreak="0">
    <w:nsid w:val="582972D2"/>
    <w:multiLevelType w:val="hybridMultilevel"/>
    <w:tmpl w:val="7944B700"/>
    <w:lvl w:ilvl="0" w:tplc="FE8AA340">
      <w:start w:val="1"/>
      <w:numFmt w:val="decimal"/>
      <w:lvlText w:val="%1)"/>
      <w:lvlJc w:val="left"/>
      <w:pPr>
        <w:ind w:left="1020" w:hanging="360"/>
      </w:pPr>
    </w:lvl>
    <w:lvl w:ilvl="1" w:tplc="3A0C4D0E">
      <w:start w:val="1"/>
      <w:numFmt w:val="decimal"/>
      <w:lvlText w:val="%2)"/>
      <w:lvlJc w:val="left"/>
      <w:pPr>
        <w:ind w:left="1020" w:hanging="360"/>
      </w:pPr>
    </w:lvl>
    <w:lvl w:ilvl="2" w:tplc="9A92448E">
      <w:start w:val="1"/>
      <w:numFmt w:val="decimal"/>
      <w:lvlText w:val="%3)"/>
      <w:lvlJc w:val="left"/>
      <w:pPr>
        <w:ind w:left="1020" w:hanging="360"/>
      </w:pPr>
    </w:lvl>
    <w:lvl w:ilvl="3" w:tplc="772AF466">
      <w:start w:val="1"/>
      <w:numFmt w:val="decimal"/>
      <w:lvlText w:val="%4)"/>
      <w:lvlJc w:val="left"/>
      <w:pPr>
        <w:ind w:left="1020" w:hanging="360"/>
      </w:pPr>
    </w:lvl>
    <w:lvl w:ilvl="4" w:tplc="75B055B4">
      <w:start w:val="1"/>
      <w:numFmt w:val="decimal"/>
      <w:lvlText w:val="%5)"/>
      <w:lvlJc w:val="left"/>
      <w:pPr>
        <w:ind w:left="1020" w:hanging="360"/>
      </w:pPr>
    </w:lvl>
    <w:lvl w:ilvl="5" w:tplc="39D6346A">
      <w:start w:val="1"/>
      <w:numFmt w:val="decimal"/>
      <w:lvlText w:val="%6)"/>
      <w:lvlJc w:val="left"/>
      <w:pPr>
        <w:ind w:left="1020" w:hanging="360"/>
      </w:pPr>
    </w:lvl>
    <w:lvl w:ilvl="6" w:tplc="115E8414">
      <w:start w:val="1"/>
      <w:numFmt w:val="decimal"/>
      <w:lvlText w:val="%7)"/>
      <w:lvlJc w:val="left"/>
      <w:pPr>
        <w:ind w:left="1020" w:hanging="360"/>
      </w:pPr>
    </w:lvl>
    <w:lvl w:ilvl="7" w:tplc="77F803EC">
      <w:start w:val="1"/>
      <w:numFmt w:val="decimal"/>
      <w:lvlText w:val="%8)"/>
      <w:lvlJc w:val="left"/>
      <w:pPr>
        <w:ind w:left="1020" w:hanging="360"/>
      </w:pPr>
    </w:lvl>
    <w:lvl w:ilvl="8" w:tplc="C8FC1238">
      <w:start w:val="1"/>
      <w:numFmt w:val="decimal"/>
      <w:lvlText w:val="%9)"/>
      <w:lvlJc w:val="left"/>
      <w:pPr>
        <w:ind w:left="1020" w:hanging="360"/>
      </w:pPr>
    </w:lvl>
  </w:abstractNum>
  <w:abstractNum w:abstractNumId="53" w15:restartNumberingAfterBreak="0">
    <w:nsid w:val="5A6B0FEA"/>
    <w:multiLevelType w:val="hybridMultilevel"/>
    <w:tmpl w:val="1340DDFC"/>
    <w:lvl w:ilvl="0" w:tplc="9BD485C6">
      <w:start w:val="1"/>
      <w:numFmt w:val="bullet"/>
      <w:lvlText w:val=""/>
      <w:lvlJc w:val="left"/>
      <w:pPr>
        <w:ind w:left="720" w:hanging="360"/>
      </w:pPr>
      <w:rPr>
        <w:rFonts w:ascii="Wingdings" w:hAnsi="Wingdings"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2C8655A8">
      <w:numFmt w:val="bullet"/>
      <w:lvlText w:val="•"/>
      <w:lvlJc w:val="left"/>
      <w:pPr>
        <w:ind w:left="2160" w:hanging="360"/>
      </w:pPr>
      <w:rPr>
        <w:rFonts w:ascii="Cambria" w:eastAsia="Calibri" w:hAnsi="Cambria"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C3F36FE"/>
    <w:multiLevelType w:val="hybridMultilevel"/>
    <w:tmpl w:val="B726D7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DB364BB"/>
    <w:multiLevelType w:val="hybridMultilevel"/>
    <w:tmpl w:val="C782393C"/>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5F212D3A"/>
    <w:multiLevelType w:val="hybridMultilevel"/>
    <w:tmpl w:val="AC64FC84"/>
    <w:lvl w:ilvl="0" w:tplc="FFFFFFFF">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616A585D"/>
    <w:multiLevelType w:val="hybridMultilevel"/>
    <w:tmpl w:val="798669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17D5079"/>
    <w:multiLevelType w:val="multilevel"/>
    <w:tmpl w:val="67DA7FC4"/>
    <w:lvl w:ilvl="0">
      <w:start w:val="3"/>
      <w:numFmt w:val="decimal"/>
      <w:pStyle w:val="HeadTNR16"/>
      <w:lvlText w:val="%1.0"/>
      <w:lvlJc w:val="left"/>
      <w:pPr>
        <w:ind w:left="720" w:hanging="720"/>
      </w:pPr>
      <w:rPr>
        <w:rFonts w:hint="default"/>
        <w:sz w:val="36"/>
        <w:szCs w:val="36"/>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54F6102"/>
    <w:multiLevelType w:val="hybridMultilevel"/>
    <w:tmpl w:val="A5A08A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9871FE4"/>
    <w:multiLevelType w:val="hybridMultilevel"/>
    <w:tmpl w:val="68D8C8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B3A4C9E"/>
    <w:multiLevelType w:val="hybridMultilevel"/>
    <w:tmpl w:val="0E1A4666"/>
    <w:lvl w:ilvl="0" w:tplc="9BD485C6">
      <w:start w:val="1"/>
      <w:numFmt w:val="bullet"/>
      <w:lvlText w:val=""/>
      <w:lvlJc w:val="left"/>
      <w:pPr>
        <w:ind w:left="1440" w:hanging="360"/>
      </w:pPr>
      <w:rPr>
        <w:rFonts w:ascii="Wingdings" w:hAnsi="Wingdings"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6D2F02DF"/>
    <w:multiLevelType w:val="hybridMultilevel"/>
    <w:tmpl w:val="1FE4CA46"/>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E9F139E"/>
    <w:multiLevelType w:val="hybridMultilevel"/>
    <w:tmpl w:val="3A007C3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78523E02"/>
    <w:multiLevelType w:val="hybridMultilevel"/>
    <w:tmpl w:val="40961B9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79B738A3"/>
    <w:multiLevelType w:val="hybridMultilevel"/>
    <w:tmpl w:val="153640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C373A8"/>
    <w:multiLevelType w:val="hybridMultilevel"/>
    <w:tmpl w:val="4066F85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D660E04"/>
    <w:multiLevelType w:val="hybridMultilevel"/>
    <w:tmpl w:val="E20A440A"/>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68" w15:restartNumberingAfterBreak="0">
    <w:nsid w:val="7E4C6B10"/>
    <w:multiLevelType w:val="hybridMultilevel"/>
    <w:tmpl w:val="0B88A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18577157">
    <w:abstractNumId w:val="58"/>
  </w:num>
  <w:num w:numId="2" w16cid:durableId="650914069">
    <w:abstractNumId w:val="58"/>
  </w:num>
  <w:num w:numId="3" w16cid:durableId="2090882044">
    <w:abstractNumId w:val="22"/>
  </w:num>
  <w:num w:numId="4" w16cid:durableId="1162506672">
    <w:abstractNumId w:val="29"/>
  </w:num>
  <w:num w:numId="5" w16cid:durableId="546068044">
    <w:abstractNumId w:val="24"/>
  </w:num>
  <w:num w:numId="6" w16cid:durableId="1087776037">
    <w:abstractNumId w:val="63"/>
  </w:num>
  <w:num w:numId="7" w16cid:durableId="1765151121">
    <w:abstractNumId w:val="12"/>
  </w:num>
  <w:num w:numId="8" w16cid:durableId="972444096">
    <w:abstractNumId w:val="51"/>
  </w:num>
  <w:num w:numId="9" w16cid:durableId="492767557">
    <w:abstractNumId w:val="41"/>
  </w:num>
  <w:num w:numId="10" w16cid:durableId="547910227">
    <w:abstractNumId w:val="32"/>
  </w:num>
  <w:num w:numId="11" w16cid:durableId="1185637258">
    <w:abstractNumId w:val="62"/>
  </w:num>
  <w:num w:numId="12" w16cid:durableId="798690096">
    <w:abstractNumId w:val="57"/>
  </w:num>
  <w:num w:numId="13" w16cid:durableId="280647466">
    <w:abstractNumId w:val="15"/>
  </w:num>
  <w:num w:numId="14" w16cid:durableId="1583567785">
    <w:abstractNumId w:val="43"/>
  </w:num>
  <w:num w:numId="15" w16cid:durableId="212083069">
    <w:abstractNumId w:val="66"/>
  </w:num>
  <w:num w:numId="16" w16cid:durableId="2134708500">
    <w:abstractNumId w:val="53"/>
  </w:num>
  <w:num w:numId="17" w16cid:durableId="1338192798">
    <w:abstractNumId w:val="56"/>
  </w:num>
  <w:num w:numId="18" w16cid:durableId="52461354">
    <w:abstractNumId w:val="42"/>
  </w:num>
  <w:num w:numId="19" w16cid:durableId="993072240">
    <w:abstractNumId w:val="45"/>
  </w:num>
  <w:num w:numId="20" w16cid:durableId="423261600">
    <w:abstractNumId w:val="33"/>
  </w:num>
  <w:num w:numId="21" w16cid:durableId="436214984">
    <w:abstractNumId w:val="25"/>
  </w:num>
  <w:num w:numId="22" w16cid:durableId="425032877">
    <w:abstractNumId w:val="40"/>
  </w:num>
  <w:num w:numId="23" w16cid:durableId="2141221346">
    <w:abstractNumId w:val="36"/>
  </w:num>
  <w:num w:numId="24" w16cid:durableId="161241137">
    <w:abstractNumId w:val="23"/>
  </w:num>
  <w:num w:numId="25" w16cid:durableId="282922745">
    <w:abstractNumId w:val="13"/>
  </w:num>
  <w:num w:numId="26" w16cid:durableId="1446072934">
    <w:abstractNumId w:val="47"/>
  </w:num>
  <w:num w:numId="27" w16cid:durableId="776678627">
    <w:abstractNumId w:val="38"/>
  </w:num>
  <w:num w:numId="28" w16cid:durableId="132598501">
    <w:abstractNumId w:val="5"/>
  </w:num>
  <w:num w:numId="29" w16cid:durableId="1417508658">
    <w:abstractNumId w:val="4"/>
  </w:num>
  <w:num w:numId="30" w16cid:durableId="641926443">
    <w:abstractNumId w:val="61"/>
  </w:num>
  <w:num w:numId="31" w16cid:durableId="1704596482">
    <w:abstractNumId w:val="46"/>
  </w:num>
  <w:num w:numId="32" w16cid:durableId="1160080350">
    <w:abstractNumId w:val="39"/>
  </w:num>
  <w:num w:numId="33" w16cid:durableId="371345957">
    <w:abstractNumId w:val="31"/>
  </w:num>
  <w:num w:numId="34" w16cid:durableId="685137353">
    <w:abstractNumId w:val="52"/>
  </w:num>
  <w:num w:numId="35" w16cid:durableId="432358200">
    <w:abstractNumId w:val="67"/>
  </w:num>
  <w:num w:numId="36" w16cid:durableId="28992855">
    <w:abstractNumId w:val="9"/>
  </w:num>
  <w:num w:numId="37" w16cid:durableId="1923493269">
    <w:abstractNumId w:val="60"/>
  </w:num>
  <w:num w:numId="38" w16cid:durableId="1290284454">
    <w:abstractNumId w:val="64"/>
  </w:num>
  <w:num w:numId="39" w16cid:durableId="445006110">
    <w:abstractNumId w:val="37"/>
  </w:num>
  <w:num w:numId="40" w16cid:durableId="1616209207">
    <w:abstractNumId w:val="26"/>
  </w:num>
  <w:num w:numId="41" w16cid:durableId="1922518584">
    <w:abstractNumId w:val="68"/>
  </w:num>
  <w:num w:numId="42" w16cid:durableId="843320514">
    <w:abstractNumId w:val="10"/>
  </w:num>
  <w:num w:numId="43" w16cid:durableId="891582165">
    <w:abstractNumId w:val="14"/>
  </w:num>
  <w:num w:numId="44" w16cid:durableId="445931468">
    <w:abstractNumId w:val="55"/>
  </w:num>
  <w:num w:numId="45" w16cid:durableId="897008571">
    <w:abstractNumId w:val="18"/>
  </w:num>
  <w:num w:numId="46" w16cid:durableId="570775038">
    <w:abstractNumId w:val="3"/>
  </w:num>
  <w:num w:numId="47" w16cid:durableId="589235735">
    <w:abstractNumId w:val="49"/>
  </w:num>
  <w:num w:numId="48" w16cid:durableId="943803645">
    <w:abstractNumId w:val="16"/>
  </w:num>
  <w:num w:numId="49" w16cid:durableId="735862086">
    <w:abstractNumId w:val="11"/>
  </w:num>
  <w:num w:numId="50" w16cid:durableId="494763387">
    <w:abstractNumId w:val="19"/>
  </w:num>
  <w:num w:numId="51" w16cid:durableId="1249735634">
    <w:abstractNumId w:val="1"/>
  </w:num>
  <w:num w:numId="52" w16cid:durableId="1071654282">
    <w:abstractNumId w:val="48"/>
  </w:num>
  <w:num w:numId="53" w16cid:durableId="840436167">
    <w:abstractNumId w:val="35"/>
  </w:num>
  <w:num w:numId="54" w16cid:durableId="1441413966">
    <w:abstractNumId w:val="59"/>
  </w:num>
  <w:num w:numId="55" w16cid:durableId="2074574036">
    <w:abstractNumId w:val="28"/>
  </w:num>
  <w:num w:numId="56" w16cid:durableId="1296762548">
    <w:abstractNumId w:val="54"/>
  </w:num>
  <w:num w:numId="57" w16cid:durableId="649479103">
    <w:abstractNumId w:val="34"/>
  </w:num>
  <w:num w:numId="58" w16cid:durableId="190650972">
    <w:abstractNumId w:val="65"/>
  </w:num>
  <w:num w:numId="59" w16cid:durableId="1820685337">
    <w:abstractNumId w:val="17"/>
  </w:num>
  <w:num w:numId="60" w16cid:durableId="1992438206">
    <w:abstractNumId w:val="44"/>
  </w:num>
  <w:num w:numId="61" w16cid:durableId="459344103">
    <w:abstractNumId w:val="8"/>
  </w:num>
  <w:num w:numId="62" w16cid:durableId="1962105460">
    <w:abstractNumId w:val="0"/>
  </w:num>
  <w:num w:numId="63" w16cid:durableId="1421295094">
    <w:abstractNumId w:val="27"/>
  </w:num>
  <w:num w:numId="64" w16cid:durableId="1665695040">
    <w:abstractNumId w:val="50"/>
  </w:num>
  <w:num w:numId="65" w16cid:durableId="1190872237">
    <w:abstractNumId w:val="21"/>
  </w:num>
  <w:num w:numId="66" w16cid:durableId="2024428279">
    <w:abstractNumId w:val="7"/>
  </w:num>
  <w:num w:numId="67" w16cid:durableId="627706069">
    <w:abstractNumId w:val="2"/>
  </w:num>
  <w:num w:numId="68" w16cid:durableId="1139423022">
    <w:abstractNumId w:val="6"/>
  </w:num>
  <w:num w:numId="69" w16cid:durableId="2037001867">
    <w:abstractNumId w:val="30"/>
  </w:num>
  <w:num w:numId="70" w16cid:durableId="1165128889">
    <w:abstractNumId w:val="2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CA2"/>
    <w:rsid w:val="0000013A"/>
    <w:rsid w:val="00001FC9"/>
    <w:rsid w:val="000026B5"/>
    <w:rsid w:val="00003778"/>
    <w:rsid w:val="00004113"/>
    <w:rsid w:val="00004AF6"/>
    <w:rsid w:val="000058A7"/>
    <w:rsid w:val="000062AC"/>
    <w:rsid w:val="00006B78"/>
    <w:rsid w:val="00010ED2"/>
    <w:rsid w:val="000118C2"/>
    <w:rsid w:val="000125EB"/>
    <w:rsid w:val="000131E7"/>
    <w:rsid w:val="000139FF"/>
    <w:rsid w:val="000147C5"/>
    <w:rsid w:val="00015825"/>
    <w:rsid w:val="00015C82"/>
    <w:rsid w:val="00016061"/>
    <w:rsid w:val="00016E5B"/>
    <w:rsid w:val="000201F2"/>
    <w:rsid w:val="00020A0C"/>
    <w:rsid w:val="00021004"/>
    <w:rsid w:val="000238F4"/>
    <w:rsid w:val="00030A0D"/>
    <w:rsid w:val="000339EF"/>
    <w:rsid w:val="000375EA"/>
    <w:rsid w:val="00040804"/>
    <w:rsid w:val="000411D6"/>
    <w:rsid w:val="000418A2"/>
    <w:rsid w:val="00041C29"/>
    <w:rsid w:val="00042612"/>
    <w:rsid w:val="00043A09"/>
    <w:rsid w:val="000447A0"/>
    <w:rsid w:val="00044A0C"/>
    <w:rsid w:val="000456BE"/>
    <w:rsid w:val="00050F93"/>
    <w:rsid w:val="00054FE3"/>
    <w:rsid w:val="00060097"/>
    <w:rsid w:val="000603E8"/>
    <w:rsid w:val="00061F9A"/>
    <w:rsid w:val="00062284"/>
    <w:rsid w:val="000628F6"/>
    <w:rsid w:val="00064251"/>
    <w:rsid w:val="0006647E"/>
    <w:rsid w:val="00066949"/>
    <w:rsid w:val="00067C2C"/>
    <w:rsid w:val="000703CA"/>
    <w:rsid w:val="0007127A"/>
    <w:rsid w:val="000722CB"/>
    <w:rsid w:val="00072AC2"/>
    <w:rsid w:val="00072DE4"/>
    <w:rsid w:val="00073361"/>
    <w:rsid w:val="00073642"/>
    <w:rsid w:val="00074F26"/>
    <w:rsid w:val="0008000E"/>
    <w:rsid w:val="00081858"/>
    <w:rsid w:val="000819D5"/>
    <w:rsid w:val="00084502"/>
    <w:rsid w:val="00084730"/>
    <w:rsid w:val="00087440"/>
    <w:rsid w:val="00091FEC"/>
    <w:rsid w:val="0009250C"/>
    <w:rsid w:val="00093CEC"/>
    <w:rsid w:val="000959A2"/>
    <w:rsid w:val="00095C17"/>
    <w:rsid w:val="000A3057"/>
    <w:rsid w:val="000A3130"/>
    <w:rsid w:val="000A4014"/>
    <w:rsid w:val="000A745D"/>
    <w:rsid w:val="000B0C16"/>
    <w:rsid w:val="000B3158"/>
    <w:rsid w:val="000B3B8B"/>
    <w:rsid w:val="000B4B3D"/>
    <w:rsid w:val="000B5149"/>
    <w:rsid w:val="000B7969"/>
    <w:rsid w:val="000C0FA4"/>
    <w:rsid w:val="000C111D"/>
    <w:rsid w:val="000C22D6"/>
    <w:rsid w:val="000C25F9"/>
    <w:rsid w:val="000C632C"/>
    <w:rsid w:val="000D0C7F"/>
    <w:rsid w:val="000D3C8C"/>
    <w:rsid w:val="000D45AF"/>
    <w:rsid w:val="000E09FE"/>
    <w:rsid w:val="000E2CB3"/>
    <w:rsid w:val="000E3E7A"/>
    <w:rsid w:val="000E49AF"/>
    <w:rsid w:val="000E6D50"/>
    <w:rsid w:val="000E749D"/>
    <w:rsid w:val="000F0DD4"/>
    <w:rsid w:val="000F263D"/>
    <w:rsid w:val="000F271D"/>
    <w:rsid w:val="000F3354"/>
    <w:rsid w:val="000F4C06"/>
    <w:rsid w:val="000F5BCE"/>
    <w:rsid w:val="0010206E"/>
    <w:rsid w:val="0010273F"/>
    <w:rsid w:val="0010331E"/>
    <w:rsid w:val="00103D15"/>
    <w:rsid w:val="00105557"/>
    <w:rsid w:val="00105A72"/>
    <w:rsid w:val="001067A6"/>
    <w:rsid w:val="001115E5"/>
    <w:rsid w:val="00112B91"/>
    <w:rsid w:val="00113796"/>
    <w:rsid w:val="0011715F"/>
    <w:rsid w:val="00117763"/>
    <w:rsid w:val="00117E90"/>
    <w:rsid w:val="00120E2E"/>
    <w:rsid w:val="00121943"/>
    <w:rsid w:val="0012263C"/>
    <w:rsid w:val="001229FD"/>
    <w:rsid w:val="00125A93"/>
    <w:rsid w:val="00126B07"/>
    <w:rsid w:val="00130620"/>
    <w:rsid w:val="00130634"/>
    <w:rsid w:val="00131B5C"/>
    <w:rsid w:val="00133884"/>
    <w:rsid w:val="0013444A"/>
    <w:rsid w:val="001361C9"/>
    <w:rsid w:val="00136F89"/>
    <w:rsid w:val="001376BE"/>
    <w:rsid w:val="00142D50"/>
    <w:rsid w:val="00145C91"/>
    <w:rsid w:val="0015064B"/>
    <w:rsid w:val="00151550"/>
    <w:rsid w:val="00151C78"/>
    <w:rsid w:val="00153418"/>
    <w:rsid w:val="00155071"/>
    <w:rsid w:val="001557DD"/>
    <w:rsid w:val="00156FEC"/>
    <w:rsid w:val="00157625"/>
    <w:rsid w:val="001602AD"/>
    <w:rsid w:val="001607CB"/>
    <w:rsid w:val="00160D37"/>
    <w:rsid w:val="00161A0F"/>
    <w:rsid w:val="0016288B"/>
    <w:rsid w:val="001637C1"/>
    <w:rsid w:val="001678B8"/>
    <w:rsid w:val="00170C09"/>
    <w:rsid w:val="0017142D"/>
    <w:rsid w:val="00172069"/>
    <w:rsid w:val="001727EE"/>
    <w:rsid w:val="00175B4E"/>
    <w:rsid w:val="0017679B"/>
    <w:rsid w:val="001800DC"/>
    <w:rsid w:val="0018052B"/>
    <w:rsid w:val="001829F0"/>
    <w:rsid w:val="00182D44"/>
    <w:rsid w:val="00183DE1"/>
    <w:rsid w:val="001844CC"/>
    <w:rsid w:val="001851EF"/>
    <w:rsid w:val="00185B91"/>
    <w:rsid w:val="00185CAA"/>
    <w:rsid w:val="0018629F"/>
    <w:rsid w:val="00186503"/>
    <w:rsid w:val="001872FA"/>
    <w:rsid w:val="00187C69"/>
    <w:rsid w:val="001916BD"/>
    <w:rsid w:val="00192126"/>
    <w:rsid w:val="0019237F"/>
    <w:rsid w:val="00192871"/>
    <w:rsid w:val="00192E16"/>
    <w:rsid w:val="0019513F"/>
    <w:rsid w:val="001959E3"/>
    <w:rsid w:val="00195BF2"/>
    <w:rsid w:val="00196662"/>
    <w:rsid w:val="00196B05"/>
    <w:rsid w:val="00196DAC"/>
    <w:rsid w:val="001A09E1"/>
    <w:rsid w:val="001A1FFF"/>
    <w:rsid w:val="001A3D40"/>
    <w:rsid w:val="001A490D"/>
    <w:rsid w:val="001B0015"/>
    <w:rsid w:val="001B126C"/>
    <w:rsid w:val="001B1912"/>
    <w:rsid w:val="001B3370"/>
    <w:rsid w:val="001B3432"/>
    <w:rsid w:val="001B402C"/>
    <w:rsid w:val="001C3FB0"/>
    <w:rsid w:val="001C42AD"/>
    <w:rsid w:val="001C4E84"/>
    <w:rsid w:val="001C5AD3"/>
    <w:rsid w:val="001C7D69"/>
    <w:rsid w:val="001D055C"/>
    <w:rsid w:val="001D307C"/>
    <w:rsid w:val="001D3598"/>
    <w:rsid w:val="001D3AAF"/>
    <w:rsid w:val="001E003C"/>
    <w:rsid w:val="001E23A1"/>
    <w:rsid w:val="001E2B1E"/>
    <w:rsid w:val="001E3AB3"/>
    <w:rsid w:val="001E470F"/>
    <w:rsid w:val="001E4B17"/>
    <w:rsid w:val="001E5DE3"/>
    <w:rsid w:val="001F2651"/>
    <w:rsid w:val="001F3765"/>
    <w:rsid w:val="002011C9"/>
    <w:rsid w:val="002028C5"/>
    <w:rsid w:val="00202D4B"/>
    <w:rsid w:val="00202E83"/>
    <w:rsid w:val="00205B73"/>
    <w:rsid w:val="002060A4"/>
    <w:rsid w:val="00207824"/>
    <w:rsid w:val="00210A53"/>
    <w:rsid w:val="002110AA"/>
    <w:rsid w:val="002121B2"/>
    <w:rsid w:val="00213C96"/>
    <w:rsid w:val="002155C2"/>
    <w:rsid w:val="00215911"/>
    <w:rsid w:val="00221093"/>
    <w:rsid w:val="00223252"/>
    <w:rsid w:val="0022396F"/>
    <w:rsid w:val="00223DEC"/>
    <w:rsid w:val="00223E2B"/>
    <w:rsid w:val="00224382"/>
    <w:rsid w:val="0022446E"/>
    <w:rsid w:val="002252FC"/>
    <w:rsid w:val="00225E29"/>
    <w:rsid w:val="002269DF"/>
    <w:rsid w:val="00227064"/>
    <w:rsid w:val="002304B4"/>
    <w:rsid w:val="0023349A"/>
    <w:rsid w:val="002343D2"/>
    <w:rsid w:val="002345D3"/>
    <w:rsid w:val="00234F14"/>
    <w:rsid w:val="00235971"/>
    <w:rsid w:val="00237173"/>
    <w:rsid w:val="00237AC8"/>
    <w:rsid w:val="002414C8"/>
    <w:rsid w:val="00241669"/>
    <w:rsid w:val="00241F16"/>
    <w:rsid w:val="002421FB"/>
    <w:rsid w:val="00243817"/>
    <w:rsid w:val="002445BE"/>
    <w:rsid w:val="002461D5"/>
    <w:rsid w:val="00246C2E"/>
    <w:rsid w:val="00247FF9"/>
    <w:rsid w:val="00251D04"/>
    <w:rsid w:val="00252672"/>
    <w:rsid w:val="00253DBD"/>
    <w:rsid w:val="002542EF"/>
    <w:rsid w:val="00254883"/>
    <w:rsid w:val="00260E04"/>
    <w:rsid w:val="00270D10"/>
    <w:rsid w:val="00270F83"/>
    <w:rsid w:val="0027112D"/>
    <w:rsid w:val="00271EF8"/>
    <w:rsid w:val="00272060"/>
    <w:rsid w:val="002736B7"/>
    <w:rsid w:val="00275D6C"/>
    <w:rsid w:val="0027648D"/>
    <w:rsid w:val="002777A2"/>
    <w:rsid w:val="0028136B"/>
    <w:rsid w:val="00281846"/>
    <w:rsid w:val="00284EE6"/>
    <w:rsid w:val="00285223"/>
    <w:rsid w:val="002868FD"/>
    <w:rsid w:val="002869D5"/>
    <w:rsid w:val="002871E3"/>
    <w:rsid w:val="00290378"/>
    <w:rsid w:val="00291346"/>
    <w:rsid w:val="00293174"/>
    <w:rsid w:val="00293AD0"/>
    <w:rsid w:val="002949BD"/>
    <w:rsid w:val="002952EA"/>
    <w:rsid w:val="00296BE2"/>
    <w:rsid w:val="00297444"/>
    <w:rsid w:val="002A268E"/>
    <w:rsid w:val="002A31AF"/>
    <w:rsid w:val="002A4882"/>
    <w:rsid w:val="002A4DBC"/>
    <w:rsid w:val="002A4E1A"/>
    <w:rsid w:val="002A73B9"/>
    <w:rsid w:val="002B008E"/>
    <w:rsid w:val="002B11C1"/>
    <w:rsid w:val="002B301E"/>
    <w:rsid w:val="002B60EF"/>
    <w:rsid w:val="002B639A"/>
    <w:rsid w:val="002B64C2"/>
    <w:rsid w:val="002C3272"/>
    <w:rsid w:val="002C5C1E"/>
    <w:rsid w:val="002D01A7"/>
    <w:rsid w:val="002D020F"/>
    <w:rsid w:val="002D0B8F"/>
    <w:rsid w:val="002D2935"/>
    <w:rsid w:val="002D6843"/>
    <w:rsid w:val="002D7AAC"/>
    <w:rsid w:val="002E033F"/>
    <w:rsid w:val="002E1B6F"/>
    <w:rsid w:val="002E255D"/>
    <w:rsid w:val="002E34F8"/>
    <w:rsid w:val="002E3A31"/>
    <w:rsid w:val="002E58DA"/>
    <w:rsid w:val="002E61C5"/>
    <w:rsid w:val="002E6547"/>
    <w:rsid w:val="002E662D"/>
    <w:rsid w:val="002E6E23"/>
    <w:rsid w:val="002E7B27"/>
    <w:rsid w:val="002F0878"/>
    <w:rsid w:val="002F600C"/>
    <w:rsid w:val="003003E0"/>
    <w:rsid w:val="00301253"/>
    <w:rsid w:val="003021E2"/>
    <w:rsid w:val="003026BE"/>
    <w:rsid w:val="003037AB"/>
    <w:rsid w:val="00304007"/>
    <w:rsid w:val="003040C7"/>
    <w:rsid w:val="00305B5D"/>
    <w:rsid w:val="00306503"/>
    <w:rsid w:val="00307B42"/>
    <w:rsid w:val="00307BDF"/>
    <w:rsid w:val="0031039B"/>
    <w:rsid w:val="00311961"/>
    <w:rsid w:val="00311D67"/>
    <w:rsid w:val="003129C5"/>
    <w:rsid w:val="00312EC0"/>
    <w:rsid w:val="00313944"/>
    <w:rsid w:val="00315B43"/>
    <w:rsid w:val="0031737C"/>
    <w:rsid w:val="003200BC"/>
    <w:rsid w:val="00320665"/>
    <w:rsid w:val="00320FF3"/>
    <w:rsid w:val="00321F6C"/>
    <w:rsid w:val="0032457C"/>
    <w:rsid w:val="00324620"/>
    <w:rsid w:val="00324767"/>
    <w:rsid w:val="00324ED4"/>
    <w:rsid w:val="00325EB1"/>
    <w:rsid w:val="00327932"/>
    <w:rsid w:val="00327989"/>
    <w:rsid w:val="003305E2"/>
    <w:rsid w:val="003320FF"/>
    <w:rsid w:val="003325D6"/>
    <w:rsid w:val="00334533"/>
    <w:rsid w:val="003347EF"/>
    <w:rsid w:val="003350C5"/>
    <w:rsid w:val="00335162"/>
    <w:rsid w:val="0033553F"/>
    <w:rsid w:val="00335ADA"/>
    <w:rsid w:val="00335C43"/>
    <w:rsid w:val="00335E58"/>
    <w:rsid w:val="00340243"/>
    <w:rsid w:val="00340A0F"/>
    <w:rsid w:val="00345A05"/>
    <w:rsid w:val="003470D6"/>
    <w:rsid w:val="003500BC"/>
    <w:rsid w:val="00350714"/>
    <w:rsid w:val="00351275"/>
    <w:rsid w:val="0035221B"/>
    <w:rsid w:val="003524E7"/>
    <w:rsid w:val="00353844"/>
    <w:rsid w:val="00353DAF"/>
    <w:rsid w:val="0035516F"/>
    <w:rsid w:val="0035530B"/>
    <w:rsid w:val="0036046F"/>
    <w:rsid w:val="00364BAB"/>
    <w:rsid w:val="00366387"/>
    <w:rsid w:val="00366DD9"/>
    <w:rsid w:val="00367DDA"/>
    <w:rsid w:val="00367FC7"/>
    <w:rsid w:val="00370370"/>
    <w:rsid w:val="00371A00"/>
    <w:rsid w:val="00371A80"/>
    <w:rsid w:val="00371C39"/>
    <w:rsid w:val="00373A44"/>
    <w:rsid w:val="00374430"/>
    <w:rsid w:val="00374880"/>
    <w:rsid w:val="00374E81"/>
    <w:rsid w:val="00376A0F"/>
    <w:rsid w:val="003806AB"/>
    <w:rsid w:val="00382F72"/>
    <w:rsid w:val="00383277"/>
    <w:rsid w:val="00384ADF"/>
    <w:rsid w:val="0038628A"/>
    <w:rsid w:val="00386585"/>
    <w:rsid w:val="003909FD"/>
    <w:rsid w:val="00390A7E"/>
    <w:rsid w:val="00390C30"/>
    <w:rsid w:val="00391613"/>
    <w:rsid w:val="00392AED"/>
    <w:rsid w:val="00394DD9"/>
    <w:rsid w:val="00395BF6"/>
    <w:rsid w:val="00396552"/>
    <w:rsid w:val="00396E55"/>
    <w:rsid w:val="003A00F6"/>
    <w:rsid w:val="003A03FF"/>
    <w:rsid w:val="003A2E28"/>
    <w:rsid w:val="003A30D6"/>
    <w:rsid w:val="003A4C6D"/>
    <w:rsid w:val="003A6FA6"/>
    <w:rsid w:val="003B07DE"/>
    <w:rsid w:val="003B1D3B"/>
    <w:rsid w:val="003B274C"/>
    <w:rsid w:val="003B2822"/>
    <w:rsid w:val="003B2EB4"/>
    <w:rsid w:val="003B3FA4"/>
    <w:rsid w:val="003B4E34"/>
    <w:rsid w:val="003B5D5B"/>
    <w:rsid w:val="003B72A8"/>
    <w:rsid w:val="003B7EDD"/>
    <w:rsid w:val="003C36DA"/>
    <w:rsid w:val="003C4541"/>
    <w:rsid w:val="003D0158"/>
    <w:rsid w:val="003D1369"/>
    <w:rsid w:val="003D2F38"/>
    <w:rsid w:val="003D39DD"/>
    <w:rsid w:val="003D4D8B"/>
    <w:rsid w:val="003D5CCD"/>
    <w:rsid w:val="003D6E9B"/>
    <w:rsid w:val="003E234A"/>
    <w:rsid w:val="003E26AE"/>
    <w:rsid w:val="003E2E45"/>
    <w:rsid w:val="003E3525"/>
    <w:rsid w:val="003E43CD"/>
    <w:rsid w:val="003E460D"/>
    <w:rsid w:val="003E4941"/>
    <w:rsid w:val="003F00F7"/>
    <w:rsid w:val="003F1847"/>
    <w:rsid w:val="003F3601"/>
    <w:rsid w:val="003F3861"/>
    <w:rsid w:val="003F4569"/>
    <w:rsid w:val="003F7684"/>
    <w:rsid w:val="0040181F"/>
    <w:rsid w:val="004024B6"/>
    <w:rsid w:val="0040387B"/>
    <w:rsid w:val="0040560C"/>
    <w:rsid w:val="00412CE5"/>
    <w:rsid w:val="004130BC"/>
    <w:rsid w:val="0041332A"/>
    <w:rsid w:val="004156E2"/>
    <w:rsid w:val="00420588"/>
    <w:rsid w:val="00422194"/>
    <w:rsid w:val="004229AB"/>
    <w:rsid w:val="0042313B"/>
    <w:rsid w:val="004248C4"/>
    <w:rsid w:val="00425143"/>
    <w:rsid w:val="00425A20"/>
    <w:rsid w:val="00426037"/>
    <w:rsid w:val="00426F96"/>
    <w:rsid w:val="00436927"/>
    <w:rsid w:val="004371FE"/>
    <w:rsid w:val="0044082A"/>
    <w:rsid w:val="004420A0"/>
    <w:rsid w:val="00444503"/>
    <w:rsid w:val="00445F14"/>
    <w:rsid w:val="004506B4"/>
    <w:rsid w:val="00451BA6"/>
    <w:rsid w:val="00453B4E"/>
    <w:rsid w:val="00454563"/>
    <w:rsid w:val="004561ED"/>
    <w:rsid w:val="004566D5"/>
    <w:rsid w:val="00460A76"/>
    <w:rsid w:val="00461981"/>
    <w:rsid w:val="00461BAE"/>
    <w:rsid w:val="004679FC"/>
    <w:rsid w:val="00470E00"/>
    <w:rsid w:val="004720B1"/>
    <w:rsid w:val="00473235"/>
    <w:rsid w:val="00475554"/>
    <w:rsid w:val="00476A1B"/>
    <w:rsid w:val="004800D8"/>
    <w:rsid w:val="0048178B"/>
    <w:rsid w:val="004817F8"/>
    <w:rsid w:val="00482D50"/>
    <w:rsid w:val="00485D13"/>
    <w:rsid w:val="0049075B"/>
    <w:rsid w:val="00490C66"/>
    <w:rsid w:val="00492264"/>
    <w:rsid w:val="00492FB3"/>
    <w:rsid w:val="00494B61"/>
    <w:rsid w:val="00497585"/>
    <w:rsid w:val="004A1581"/>
    <w:rsid w:val="004A2CE4"/>
    <w:rsid w:val="004A3994"/>
    <w:rsid w:val="004A4EF0"/>
    <w:rsid w:val="004A5669"/>
    <w:rsid w:val="004A7284"/>
    <w:rsid w:val="004B1CA0"/>
    <w:rsid w:val="004B3526"/>
    <w:rsid w:val="004B4F91"/>
    <w:rsid w:val="004B66C7"/>
    <w:rsid w:val="004B7259"/>
    <w:rsid w:val="004C0B0D"/>
    <w:rsid w:val="004C1D13"/>
    <w:rsid w:val="004C3602"/>
    <w:rsid w:val="004C3924"/>
    <w:rsid w:val="004C4103"/>
    <w:rsid w:val="004C42E7"/>
    <w:rsid w:val="004C48C9"/>
    <w:rsid w:val="004C4BE5"/>
    <w:rsid w:val="004C5146"/>
    <w:rsid w:val="004C75CC"/>
    <w:rsid w:val="004C7ED0"/>
    <w:rsid w:val="004D1EBA"/>
    <w:rsid w:val="004D3492"/>
    <w:rsid w:val="004E242B"/>
    <w:rsid w:val="004E28BC"/>
    <w:rsid w:val="004E3E3A"/>
    <w:rsid w:val="004E57FF"/>
    <w:rsid w:val="004E7013"/>
    <w:rsid w:val="004E79F1"/>
    <w:rsid w:val="004F08BD"/>
    <w:rsid w:val="004F1BF9"/>
    <w:rsid w:val="004F28AE"/>
    <w:rsid w:val="004F2D4A"/>
    <w:rsid w:val="004F44A2"/>
    <w:rsid w:val="004F5843"/>
    <w:rsid w:val="004F6CEA"/>
    <w:rsid w:val="004F7B74"/>
    <w:rsid w:val="005007EB"/>
    <w:rsid w:val="00502B1A"/>
    <w:rsid w:val="00502EC7"/>
    <w:rsid w:val="00502FAB"/>
    <w:rsid w:val="005033B3"/>
    <w:rsid w:val="00511E09"/>
    <w:rsid w:val="00512EC6"/>
    <w:rsid w:val="005131D9"/>
    <w:rsid w:val="00516220"/>
    <w:rsid w:val="00517849"/>
    <w:rsid w:val="005206B4"/>
    <w:rsid w:val="00520DB2"/>
    <w:rsid w:val="005231BD"/>
    <w:rsid w:val="005260B9"/>
    <w:rsid w:val="00526FC9"/>
    <w:rsid w:val="00527BDC"/>
    <w:rsid w:val="00532370"/>
    <w:rsid w:val="00535471"/>
    <w:rsid w:val="005409A1"/>
    <w:rsid w:val="00541267"/>
    <w:rsid w:val="005413DC"/>
    <w:rsid w:val="005428E6"/>
    <w:rsid w:val="00543A91"/>
    <w:rsid w:val="0054402F"/>
    <w:rsid w:val="0054486F"/>
    <w:rsid w:val="00544A88"/>
    <w:rsid w:val="00544B96"/>
    <w:rsid w:val="00545CD7"/>
    <w:rsid w:val="00550AC0"/>
    <w:rsid w:val="00551A3A"/>
    <w:rsid w:val="00551CC7"/>
    <w:rsid w:val="00552389"/>
    <w:rsid w:val="005524CA"/>
    <w:rsid w:val="00552BEA"/>
    <w:rsid w:val="00555377"/>
    <w:rsid w:val="0055608D"/>
    <w:rsid w:val="00556656"/>
    <w:rsid w:val="00556925"/>
    <w:rsid w:val="005569AD"/>
    <w:rsid w:val="00557205"/>
    <w:rsid w:val="005575BE"/>
    <w:rsid w:val="0056018A"/>
    <w:rsid w:val="0056060F"/>
    <w:rsid w:val="005622EC"/>
    <w:rsid w:val="00564441"/>
    <w:rsid w:val="0056615B"/>
    <w:rsid w:val="00567A16"/>
    <w:rsid w:val="00567B43"/>
    <w:rsid w:val="00570F25"/>
    <w:rsid w:val="00571B29"/>
    <w:rsid w:val="00572E8E"/>
    <w:rsid w:val="005738E0"/>
    <w:rsid w:val="0058101D"/>
    <w:rsid w:val="00582113"/>
    <w:rsid w:val="00583DE0"/>
    <w:rsid w:val="00584008"/>
    <w:rsid w:val="0058551D"/>
    <w:rsid w:val="005856A5"/>
    <w:rsid w:val="0058725F"/>
    <w:rsid w:val="0058726E"/>
    <w:rsid w:val="00587320"/>
    <w:rsid w:val="005878E8"/>
    <w:rsid w:val="005933A2"/>
    <w:rsid w:val="00594363"/>
    <w:rsid w:val="00595D79"/>
    <w:rsid w:val="005966E0"/>
    <w:rsid w:val="00597E6A"/>
    <w:rsid w:val="005A0EEF"/>
    <w:rsid w:val="005A30E2"/>
    <w:rsid w:val="005B05C7"/>
    <w:rsid w:val="005B0857"/>
    <w:rsid w:val="005B1E77"/>
    <w:rsid w:val="005B1E89"/>
    <w:rsid w:val="005B3553"/>
    <w:rsid w:val="005B4442"/>
    <w:rsid w:val="005B4749"/>
    <w:rsid w:val="005C2AEA"/>
    <w:rsid w:val="005C2C1E"/>
    <w:rsid w:val="005C35D4"/>
    <w:rsid w:val="005C3893"/>
    <w:rsid w:val="005C469A"/>
    <w:rsid w:val="005C6438"/>
    <w:rsid w:val="005D0328"/>
    <w:rsid w:val="005D157C"/>
    <w:rsid w:val="005D1D78"/>
    <w:rsid w:val="005D21DA"/>
    <w:rsid w:val="005D2875"/>
    <w:rsid w:val="005D4CAF"/>
    <w:rsid w:val="005D4DC0"/>
    <w:rsid w:val="005D5DA8"/>
    <w:rsid w:val="005D5E02"/>
    <w:rsid w:val="005D687A"/>
    <w:rsid w:val="005D76E0"/>
    <w:rsid w:val="005E5BE3"/>
    <w:rsid w:val="005E5E80"/>
    <w:rsid w:val="005F13D4"/>
    <w:rsid w:val="005F366C"/>
    <w:rsid w:val="005F37BD"/>
    <w:rsid w:val="005F486E"/>
    <w:rsid w:val="005F5AA5"/>
    <w:rsid w:val="005F6A50"/>
    <w:rsid w:val="00602010"/>
    <w:rsid w:val="006031E7"/>
    <w:rsid w:val="00603A5D"/>
    <w:rsid w:val="00606534"/>
    <w:rsid w:val="00610E58"/>
    <w:rsid w:val="00612743"/>
    <w:rsid w:val="00612E81"/>
    <w:rsid w:val="00614745"/>
    <w:rsid w:val="00614F1E"/>
    <w:rsid w:val="0061595C"/>
    <w:rsid w:val="006162DA"/>
    <w:rsid w:val="00617570"/>
    <w:rsid w:val="00620016"/>
    <w:rsid w:val="00620744"/>
    <w:rsid w:val="00620A1C"/>
    <w:rsid w:val="00621029"/>
    <w:rsid w:val="0062354C"/>
    <w:rsid w:val="006237DA"/>
    <w:rsid w:val="006245FF"/>
    <w:rsid w:val="006308B1"/>
    <w:rsid w:val="00631562"/>
    <w:rsid w:val="00631C31"/>
    <w:rsid w:val="00633A70"/>
    <w:rsid w:val="00635BC9"/>
    <w:rsid w:val="006367ED"/>
    <w:rsid w:val="00640B66"/>
    <w:rsid w:val="0064100C"/>
    <w:rsid w:val="00641080"/>
    <w:rsid w:val="006427A5"/>
    <w:rsid w:val="006465FF"/>
    <w:rsid w:val="00646C07"/>
    <w:rsid w:val="00647D17"/>
    <w:rsid w:val="00652896"/>
    <w:rsid w:val="00652A19"/>
    <w:rsid w:val="00653087"/>
    <w:rsid w:val="00653A80"/>
    <w:rsid w:val="00655A8B"/>
    <w:rsid w:val="0065667D"/>
    <w:rsid w:val="00656AB5"/>
    <w:rsid w:val="006601F2"/>
    <w:rsid w:val="00660551"/>
    <w:rsid w:val="00660C3E"/>
    <w:rsid w:val="006639C8"/>
    <w:rsid w:val="00664078"/>
    <w:rsid w:val="00664B43"/>
    <w:rsid w:val="00666206"/>
    <w:rsid w:val="0066742F"/>
    <w:rsid w:val="0067026B"/>
    <w:rsid w:val="00672C3F"/>
    <w:rsid w:val="00673A0B"/>
    <w:rsid w:val="00674B9D"/>
    <w:rsid w:val="00677C8C"/>
    <w:rsid w:val="0068146F"/>
    <w:rsid w:val="00681CD1"/>
    <w:rsid w:val="00683032"/>
    <w:rsid w:val="006851C8"/>
    <w:rsid w:val="00685326"/>
    <w:rsid w:val="00685917"/>
    <w:rsid w:val="006877C4"/>
    <w:rsid w:val="0069136A"/>
    <w:rsid w:val="00692465"/>
    <w:rsid w:val="00692621"/>
    <w:rsid w:val="0069424C"/>
    <w:rsid w:val="0069434C"/>
    <w:rsid w:val="006977ED"/>
    <w:rsid w:val="00697FC9"/>
    <w:rsid w:val="006A1A6A"/>
    <w:rsid w:val="006A1E67"/>
    <w:rsid w:val="006A67BF"/>
    <w:rsid w:val="006A6D3B"/>
    <w:rsid w:val="006A7F84"/>
    <w:rsid w:val="006B0B31"/>
    <w:rsid w:val="006B1A7E"/>
    <w:rsid w:val="006B2A8A"/>
    <w:rsid w:val="006B2B48"/>
    <w:rsid w:val="006B3E32"/>
    <w:rsid w:val="006B3F7F"/>
    <w:rsid w:val="006B4814"/>
    <w:rsid w:val="006B48BB"/>
    <w:rsid w:val="006B6A37"/>
    <w:rsid w:val="006B7244"/>
    <w:rsid w:val="006C14E5"/>
    <w:rsid w:val="006C2EE1"/>
    <w:rsid w:val="006C31BC"/>
    <w:rsid w:val="006C3770"/>
    <w:rsid w:val="006C3A69"/>
    <w:rsid w:val="006C4E87"/>
    <w:rsid w:val="006C54DE"/>
    <w:rsid w:val="006C66DE"/>
    <w:rsid w:val="006D374D"/>
    <w:rsid w:val="006D47C3"/>
    <w:rsid w:val="006D4B6D"/>
    <w:rsid w:val="006D6F07"/>
    <w:rsid w:val="006E065E"/>
    <w:rsid w:val="006E0962"/>
    <w:rsid w:val="006E11BA"/>
    <w:rsid w:val="006E2C32"/>
    <w:rsid w:val="006E2E85"/>
    <w:rsid w:val="006E3C30"/>
    <w:rsid w:val="006E3CEF"/>
    <w:rsid w:val="006E3F94"/>
    <w:rsid w:val="006E53C9"/>
    <w:rsid w:val="006E590E"/>
    <w:rsid w:val="006E594A"/>
    <w:rsid w:val="006E6991"/>
    <w:rsid w:val="006E7AA4"/>
    <w:rsid w:val="006F1342"/>
    <w:rsid w:val="006F2800"/>
    <w:rsid w:val="006F35E4"/>
    <w:rsid w:val="006F3C48"/>
    <w:rsid w:val="006F3C73"/>
    <w:rsid w:val="006F41C2"/>
    <w:rsid w:val="006F72B8"/>
    <w:rsid w:val="006F7357"/>
    <w:rsid w:val="006F7F81"/>
    <w:rsid w:val="00700CA0"/>
    <w:rsid w:val="007012E6"/>
    <w:rsid w:val="00701FD0"/>
    <w:rsid w:val="007023B5"/>
    <w:rsid w:val="00706C80"/>
    <w:rsid w:val="00707FDB"/>
    <w:rsid w:val="0071136A"/>
    <w:rsid w:val="00713270"/>
    <w:rsid w:val="0071704F"/>
    <w:rsid w:val="00717CA3"/>
    <w:rsid w:val="0072054E"/>
    <w:rsid w:val="00720708"/>
    <w:rsid w:val="00720C4E"/>
    <w:rsid w:val="00725522"/>
    <w:rsid w:val="0072570C"/>
    <w:rsid w:val="007258AF"/>
    <w:rsid w:val="007261C8"/>
    <w:rsid w:val="007312F7"/>
    <w:rsid w:val="0073279C"/>
    <w:rsid w:val="0073341A"/>
    <w:rsid w:val="0073342B"/>
    <w:rsid w:val="007348C9"/>
    <w:rsid w:val="007357DC"/>
    <w:rsid w:val="00735D29"/>
    <w:rsid w:val="00736411"/>
    <w:rsid w:val="00736F35"/>
    <w:rsid w:val="00737181"/>
    <w:rsid w:val="007375DA"/>
    <w:rsid w:val="00740E32"/>
    <w:rsid w:val="00742745"/>
    <w:rsid w:val="00743CD3"/>
    <w:rsid w:val="007460F5"/>
    <w:rsid w:val="00746D79"/>
    <w:rsid w:val="007477C5"/>
    <w:rsid w:val="00750874"/>
    <w:rsid w:val="00751210"/>
    <w:rsid w:val="0075299C"/>
    <w:rsid w:val="00753293"/>
    <w:rsid w:val="0075363D"/>
    <w:rsid w:val="00753A79"/>
    <w:rsid w:val="00755192"/>
    <w:rsid w:val="00756D9A"/>
    <w:rsid w:val="00756FA7"/>
    <w:rsid w:val="0075797B"/>
    <w:rsid w:val="00757EC0"/>
    <w:rsid w:val="00762418"/>
    <w:rsid w:val="00765840"/>
    <w:rsid w:val="0076679C"/>
    <w:rsid w:val="00767184"/>
    <w:rsid w:val="007671C4"/>
    <w:rsid w:val="007673A3"/>
    <w:rsid w:val="0076770E"/>
    <w:rsid w:val="0076771F"/>
    <w:rsid w:val="0077102F"/>
    <w:rsid w:val="00771AFE"/>
    <w:rsid w:val="0077278F"/>
    <w:rsid w:val="0077292C"/>
    <w:rsid w:val="0077495C"/>
    <w:rsid w:val="007768B7"/>
    <w:rsid w:val="00777F10"/>
    <w:rsid w:val="00781185"/>
    <w:rsid w:val="007812C2"/>
    <w:rsid w:val="00782FA9"/>
    <w:rsid w:val="0078333C"/>
    <w:rsid w:val="00783FCC"/>
    <w:rsid w:val="007853B8"/>
    <w:rsid w:val="007865F2"/>
    <w:rsid w:val="00786F8C"/>
    <w:rsid w:val="007901C0"/>
    <w:rsid w:val="00790C7C"/>
    <w:rsid w:val="00792366"/>
    <w:rsid w:val="00792744"/>
    <w:rsid w:val="007930A2"/>
    <w:rsid w:val="00794E25"/>
    <w:rsid w:val="00795859"/>
    <w:rsid w:val="00797596"/>
    <w:rsid w:val="007975AE"/>
    <w:rsid w:val="007976ED"/>
    <w:rsid w:val="007A00BD"/>
    <w:rsid w:val="007A0E6C"/>
    <w:rsid w:val="007A28F2"/>
    <w:rsid w:val="007A5C96"/>
    <w:rsid w:val="007A6E0A"/>
    <w:rsid w:val="007A7690"/>
    <w:rsid w:val="007A7C6B"/>
    <w:rsid w:val="007B1C78"/>
    <w:rsid w:val="007B24F2"/>
    <w:rsid w:val="007B4CCF"/>
    <w:rsid w:val="007B4D01"/>
    <w:rsid w:val="007B7920"/>
    <w:rsid w:val="007C0A1E"/>
    <w:rsid w:val="007C0AC8"/>
    <w:rsid w:val="007C14F9"/>
    <w:rsid w:val="007C340C"/>
    <w:rsid w:val="007C5A78"/>
    <w:rsid w:val="007C6DCC"/>
    <w:rsid w:val="007C7E4B"/>
    <w:rsid w:val="007D112F"/>
    <w:rsid w:val="007D228B"/>
    <w:rsid w:val="007D3F77"/>
    <w:rsid w:val="007D4548"/>
    <w:rsid w:val="007D5643"/>
    <w:rsid w:val="007D5D3C"/>
    <w:rsid w:val="007D76FB"/>
    <w:rsid w:val="007E0D63"/>
    <w:rsid w:val="007E2A71"/>
    <w:rsid w:val="007E57F1"/>
    <w:rsid w:val="007F2B0B"/>
    <w:rsid w:val="007F30CF"/>
    <w:rsid w:val="007F3B93"/>
    <w:rsid w:val="007F552B"/>
    <w:rsid w:val="007F7183"/>
    <w:rsid w:val="007F7660"/>
    <w:rsid w:val="008013FE"/>
    <w:rsid w:val="00802A94"/>
    <w:rsid w:val="00802D8E"/>
    <w:rsid w:val="008040E2"/>
    <w:rsid w:val="0080464D"/>
    <w:rsid w:val="00807F1C"/>
    <w:rsid w:val="00810466"/>
    <w:rsid w:val="00810ED6"/>
    <w:rsid w:val="008129E5"/>
    <w:rsid w:val="008138E8"/>
    <w:rsid w:val="00813E56"/>
    <w:rsid w:val="00814F75"/>
    <w:rsid w:val="00815EA6"/>
    <w:rsid w:val="00816441"/>
    <w:rsid w:val="00822149"/>
    <w:rsid w:val="008242CE"/>
    <w:rsid w:val="008244C7"/>
    <w:rsid w:val="00826254"/>
    <w:rsid w:val="008273C9"/>
    <w:rsid w:val="00831E28"/>
    <w:rsid w:val="0083377D"/>
    <w:rsid w:val="00834564"/>
    <w:rsid w:val="0083518D"/>
    <w:rsid w:val="008366FE"/>
    <w:rsid w:val="008373FB"/>
    <w:rsid w:val="00841E2D"/>
    <w:rsid w:val="00842167"/>
    <w:rsid w:val="0084520F"/>
    <w:rsid w:val="008456B3"/>
    <w:rsid w:val="00850F2E"/>
    <w:rsid w:val="00852464"/>
    <w:rsid w:val="0085316E"/>
    <w:rsid w:val="00854292"/>
    <w:rsid w:val="00855563"/>
    <w:rsid w:val="00857C19"/>
    <w:rsid w:val="00860E9F"/>
    <w:rsid w:val="00861F99"/>
    <w:rsid w:val="00863A6E"/>
    <w:rsid w:val="00865178"/>
    <w:rsid w:val="00865F22"/>
    <w:rsid w:val="00866568"/>
    <w:rsid w:val="0086747D"/>
    <w:rsid w:val="00867724"/>
    <w:rsid w:val="008710B0"/>
    <w:rsid w:val="008712C9"/>
    <w:rsid w:val="00871B02"/>
    <w:rsid w:val="008738DB"/>
    <w:rsid w:val="008770A9"/>
    <w:rsid w:val="0087715B"/>
    <w:rsid w:val="00877D18"/>
    <w:rsid w:val="00877F27"/>
    <w:rsid w:val="008803C1"/>
    <w:rsid w:val="00880C43"/>
    <w:rsid w:val="008819DD"/>
    <w:rsid w:val="00883ED0"/>
    <w:rsid w:val="00883ED5"/>
    <w:rsid w:val="008852A7"/>
    <w:rsid w:val="0088531B"/>
    <w:rsid w:val="008858D7"/>
    <w:rsid w:val="00885AD5"/>
    <w:rsid w:val="00885DF0"/>
    <w:rsid w:val="00886019"/>
    <w:rsid w:val="00886538"/>
    <w:rsid w:val="00886DF2"/>
    <w:rsid w:val="00886ED3"/>
    <w:rsid w:val="00887A0E"/>
    <w:rsid w:val="00892BAD"/>
    <w:rsid w:val="008942FF"/>
    <w:rsid w:val="00894879"/>
    <w:rsid w:val="00897CD1"/>
    <w:rsid w:val="008A04BD"/>
    <w:rsid w:val="008A2E75"/>
    <w:rsid w:val="008A3EBE"/>
    <w:rsid w:val="008B0608"/>
    <w:rsid w:val="008B3CAA"/>
    <w:rsid w:val="008B6E43"/>
    <w:rsid w:val="008B7A8E"/>
    <w:rsid w:val="008C018E"/>
    <w:rsid w:val="008C2417"/>
    <w:rsid w:val="008C338C"/>
    <w:rsid w:val="008C5AF2"/>
    <w:rsid w:val="008C6021"/>
    <w:rsid w:val="008C6CC7"/>
    <w:rsid w:val="008C6FCE"/>
    <w:rsid w:val="008D0A07"/>
    <w:rsid w:val="008D0FE8"/>
    <w:rsid w:val="008D113D"/>
    <w:rsid w:val="008D11AD"/>
    <w:rsid w:val="008D31FA"/>
    <w:rsid w:val="008D3755"/>
    <w:rsid w:val="008D408F"/>
    <w:rsid w:val="008D4468"/>
    <w:rsid w:val="008D49FA"/>
    <w:rsid w:val="008D507B"/>
    <w:rsid w:val="008D5120"/>
    <w:rsid w:val="008D61DA"/>
    <w:rsid w:val="008E060B"/>
    <w:rsid w:val="008E06FD"/>
    <w:rsid w:val="008E0FE3"/>
    <w:rsid w:val="008E2ABE"/>
    <w:rsid w:val="008E3636"/>
    <w:rsid w:val="008E44B9"/>
    <w:rsid w:val="008E5E23"/>
    <w:rsid w:val="008E6CF3"/>
    <w:rsid w:val="008E7F3F"/>
    <w:rsid w:val="008F3153"/>
    <w:rsid w:val="008F621F"/>
    <w:rsid w:val="008F7305"/>
    <w:rsid w:val="008F7426"/>
    <w:rsid w:val="008F7633"/>
    <w:rsid w:val="00901A82"/>
    <w:rsid w:val="0090390E"/>
    <w:rsid w:val="0090407B"/>
    <w:rsid w:val="0090490D"/>
    <w:rsid w:val="00904C89"/>
    <w:rsid w:val="00905947"/>
    <w:rsid w:val="009060EB"/>
    <w:rsid w:val="00907842"/>
    <w:rsid w:val="0090788E"/>
    <w:rsid w:val="0090790E"/>
    <w:rsid w:val="009111FB"/>
    <w:rsid w:val="00913235"/>
    <w:rsid w:val="00913C8C"/>
    <w:rsid w:val="00914EF9"/>
    <w:rsid w:val="00916456"/>
    <w:rsid w:val="00916D95"/>
    <w:rsid w:val="009175B6"/>
    <w:rsid w:val="00921A5E"/>
    <w:rsid w:val="0092236E"/>
    <w:rsid w:val="00923E34"/>
    <w:rsid w:val="00925CD2"/>
    <w:rsid w:val="00927616"/>
    <w:rsid w:val="009301FB"/>
    <w:rsid w:val="00931DDC"/>
    <w:rsid w:val="009328D3"/>
    <w:rsid w:val="00933BFF"/>
    <w:rsid w:val="009359FF"/>
    <w:rsid w:val="00943035"/>
    <w:rsid w:val="0094473A"/>
    <w:rsid w:val="00945BB5"/>
    <w:rsid w:val="009477B9"/>
    <w:rsid w:val="0095314A"/>
    <w:rsid w:val="00953970"/>
    <w:rsid w:val="00953D43"/>
    <w:rsid w:val="00957789"/>
    <w:rsid w:val="00961EFB"/>
    <w:rsid w:val="0096432B"/>
    <w:rsid w:val="00964B3E"/>
    <w:rsid w:val="009676AE"/>
    <w:rsid w:val="009707A8"/>
    <w:rsid w:val="009737C4"/>
    <w:rsid w:val="00973AC1"/>
    <w:rsid w:val="0097424E"/>
    <w:rsid w:val="00975D62"/>
    <w:rsid w:val="00977662"/>
    <w:rsid w:val="00977D4C"/>
    <w:rsid w:val="00982708"/>
    <w:rsid w:val="00982799"/>
    <w:rsid w:val="009850DD"/>
    <w:rsid w:val="009859DB"/>
    <w:rsid w:val="00985E12"/>
    <w:rsid w:val="00985F23"/>
    <w:rsid w:val="00986AB9"/>
    <w:rsid w:val="0098783F"/>
    <w:rsid w:val="0099210D"/>
    <w:rsid w:val="00992C7B"/>
    <w:rsid w:val="009959C3"/>
    <w:rsid w:val="00996370"/>
    <w:rsid w:val="0099734D"/>
    <w:rsid w:val="00997B45"/>
    <w:rsid w:val="009A0859"/>
    <w:rsid w:val="009A0932"/>
    <w:rsid w:val="009A0EA2"/>
    <w:rsid w:val="009A406C"/>
    <w:rsid w:val="009B192A"/>
    <w:rsid w:val="009B2694"/>
    <w:rsid w:val="009B3152"/>
    <w:rsid w:val="009B5A27"/>
    <w:rsid w:val="009C05B7"/>
    <w:rsid w:val="009C1A14"/>
    <w:rsid w:val="009C24AA"/>
    <w:rsid w:val="009C4570"/>
    <w:rsid w:val="009C47C2"/>
    <w:rsid w:val="009C52EF"/>
    <w:rsid w:val="009C68C7"/>
    <w:rsid w:val="009D0052"/>
    <w:rsid w:val="009D0D35"/>
    <w:rsid w:val="009D3945"/>
    <w:rsid w:val="009D3EF4"/>
    <w:rsid w:val="009E01FD"/>
    <w:rsid w:val="009E1D6C"/>
    <w:rsid w:val="009E47D3"/>
    <w:rsid w:val="009E4E96"/>
    <w:rsid w:val="009E50A1"/>
    <w:rsid w:val="009E6D6E"/>
    <w:rsid w:val="009E7C1C"/>
    <w:rsid w:val="009F02CE"/>
    <w:rsid w:val="009F2567"/>
    <w:rsid w:val="009F2794"/>
    <w:rsid w:val="009F592C"/>
    <w:rsid w:val="009F5DC4"/>
    <w:rsid w:val="009F6A9A"/>
    <w:rsid w:val="009F6C72"/>
    <w:rsid w:val="00A02078"/>
    <w:rsid w:val="00A04776"/>
    <w:rsid w:val="00A04921"/>
    <w:rsid w:val="00A04934"/>
    <w:rsid w:val="00A10254"/>
    <w:rsid w:val="00A1325B"/>
    <w:rsid w:val="00A132C0"/>
    <w:rsid w:val="00A14CD5"/>
    <w:rsid w:val="00A158F6"/>
    <w:rsid w:val="00A1759C"/>
    <w:rsid w:val="00A17EE1"/>
    <w:rsid w:val="00A20A27"/>
    <w:rsid w:val="00A20F1E"/>
    <w:rsid w:val="00A22E8F"/>
    <w:rsid w:val="00A22F0E"/>
    <w:rsid w:val="00A23430"/>
    <w:rsid w:val="00A2515A"/>
    <w:rsid w:val="00A27C83"/>
    <w:rsid w:val="00A30154"/>
    <w:rsid w:val="00A301E9"/>
    <w:rsid w:val="00A31319"/>
    <w:rsid w:val="00A31BB8"/>
    <w:rsid w:val="00A32CB7"/>
    <w:rsid w:val="00A35430"/>
    <w:rsid w:val="00A37B91"/>
    <w:rsid w:val="00A406B7"/>
    <w:rsid w:val="00A42791"/>
    <w:rsid w:val="00A443B9"/>
    <w:rsid w:val="00A4770C"/>
    <w:rsid w:val="00A47B91"/>
    <w:rsid w:val="00A500A7"/>
    <w:rsid w:val="00A52152"/>
    <w:rsid w:val="00A525E9"/>
    <w:rsid w:val="00A53994"/>
    <w:rsid w:val="00A60BE3"/>
    <w:rsid w:val="00A61605"/>
    <w:rsid w:val="00A65C3D"/>
    <w:rsid w:val="00A67615"/>
    <w:rsid w:val="00A7119D"/>
    <w:rsid w:val="00A72340"/>
    <w:rsid w:val="00A73374"/>
    <w:rsid w:val="00A74B41"/>
    <w:rsid w:val="00A74D67"/>
    <w:rsid w:val="00A75903"/>
    <w:rsid w:val="00A75E83"/>
    <w:rsid w:val="00A76280"/>
    <w:rsid w:val="00A7694E"/>
    <w:rsid w:val="00A8001B"/>
    <w:rsid w:val="00A821EC"/>
    <w:rsid w:val="00A82F61"/>
    <w:rsid w:val="00A83543"/>
    <w:rsid w:val="00A84D23"/>
    <w:rsid w:val="00A8504E"/>
    <w:rsid w:val="00A86A4E"/>
    <w:rsid w:val="00A909DC"/>
    <w:rsid w:val="00A90B33"/>
    <w:rsid w:val="00A93874"/>
    <w:rsid w:val="00A93933"/>
    <w:rsid w:val="00A953E5"/>
    <w:rsid w:val="00A9761A"/>
    <w:rsid w:val="00AA03F7"/>
    <w:rsid w:val="00AA04D1"/>
    <w:rsid w:val="00AA05E1"/>
    <w:rsid w:val="00AA0645"/>
    <w:rsid w:val="00AA0C5E"/>
    <w:rsid w:val="00AA113B"/>
    <w:rsid w:val="00AA2DCE"/>
    <w:rsid w:val="00AA53C1"/>
    <w:rsid w:val="00AA5E0D"/>
    <w:rsid w:val="00AA651D"/>
    <w:rsid w:val="00AA69CE"/>
    <w:rsid w:val="00AA71CF"/>
    <w:rsid w:val="00AA7626"/>
    <w:rsid w:val="00AB0829"/>
    <w:rsid w:val="00AB1E25"/>
    <w:rsid w:val="00AB2E0A"/>
    <w:rsid w:val="00AB3A34"/>
    <w:rsid w:val="00AC2CAE"/>
    <w:rsid w:val="00AC3DA0"/>
    <w:rsid w:val="00AC3F78"/>
    <w:rsid w:val="00AC59B8"/>
    <w:rsid w:val="00AC64AD"/>
    <w:rsid w:val="00AC7007"/>
    <w:rsid w:val="00AD0B5C"/>
    <w:rsid w:val="00AD1D07"/>
    <w:rsid w:val="00AD4CD4"/>
    <w:rsid w:val="00AD7A93"/>
    <w:rsid w:val="00AE0BFB"/>
    <w:rsid w:val="00AE11F6"/>
    <w:rsid w:val="00AE225E"/>
    <w:rsid w:val="00AE2C3B"/>
    <w:rsid w:val="00AE2DA9"/>
    <w:rsid w:val="00AE40B0"/>
    <w:rsid w:val="00AE41AB"/>
    <w:rsid w:val="00AE6047"/>
    <w:rsid w:val="00AF2186"/>
    <w:rsid w:val="00AF3299"/>
    <w:rsid w:val="00AF3DF4"/>
    <w:rsid w:val="00AF678D"/>
    <w:rsid w:val="00AF7074"/>
    <w:rsid w:val="00AF7E79"/>
    <w:rsid w:val="00B01036"/>
    <w:rsid w:val="00B013BF"/>
    <w:rsid w:val="00B0403B"/>
    <w:rsid w:val="00B05E57"/>
    <w:rsid w:val="00B106CE"/>
    <w:rsid w:val="00B11C81"/>
    <w:rsid w:val="00B12D78"/>
    <w:rsid w:val="00B15202"/>
    <w:rsid w:val="00B168BE"/>
    <w:rsid w:val="00B16A59"/>
    <w:rsid w:val="00B17429"/>
    <w:rsid w:val="00B21401"/>
    <w:rsid w:val="00B228DF"/>
    <w:rsid w:val="00B24A81"/>
    <w:rsid w:val="00B26BEC"/>
    <w:rsid w:val="00B33985"/>
    <w:rsid w:val="00B34735"/>
    <w:rsid w:val="00B34E80"/>
    <w:rsid w:val="00B377A9"/>
    <w:rsid w:val="00B3790B"/>
    <w:rsid w:val="00B37978"/>
    <w:rsid w:val="00B37BF9"/>
    <w:rsid w:val="00B408D4"/>
    <w:rsid w:val="00B41BEE"/>
    <w:rsid w:val="00B41CD5"/>
    <w:rsid w:val="00B42A6C"/>
    <w:rsid w:val="00B4479E"/>
    <w:rsid w:val="00B46904"/>
    <w:rsid w:val="00B51430"/>
    <w:rsid w:val="00B5318E"/>
    <w:rsid w:val="00B54A41"/>
    <w:rsid w:val="00B55CA5"/>
    <w:rsid w:val="00B569A9"/>
    <w:rsid w:val="00B60166"/>
    <w:rsid w:val="00B604CF"/>
    <w:rsid w:val="00B60B84"/>
    <w:rsid w:val="00B62D58"/>
    <w:rsid w:val="00B63BA5"/>
    <w:rsid w:val="00B65209"/>
    <w:rsid w:val="00B66918"/>
    <w:rsid w:val="00B703BE"/>
    <w:rsid w:val="00B70D5D"/>
    <w:rsid w:val="00B73B2D"/>
    <w:rsid w:val="00B75879"/>
    <w:rsid w:val="00B76C76"/>
    <w:rsid w:val="00B81B9F"/>
    <w:rsid w:val="00B82E76"/>
    <w:rsid w:val="00B83A39"/>
    <w:rsid w:val="00B842AF"/>
    <w:rsid w:val="00B84DB5"/>
    <w:rsid w:val="00B854D6"/>
    <w:rsid w:val="00B869D3"/>
    <w:rsid w:val="00B8706C"/>
    <w:rsid w:val="00B96071"/>
    <w:rsid w:val="00B974DE"/>
    <w:rsid w:val="00BA2338"/>
    <w:rsid w:val="00BA2923"/>
    <w:rsid w:val="00BA43B1"/>
    <w:rsid w:val="00BA4907"/>
    <w:rsid w:val="00BA55B9"/>
    <w:rsid w:val="00BA5D27"/>
    <w:rsid w:val="00BA75D5"/>
    <w:rsid w:val="00BA7863"/>
    <w:rsid w:val="00BB1E0E"/>
    <w:rsid w:val="00BB2FCC"/>
    <w:rsid w:val="00BB4D65"/>
    <w:rsid w:val="00BB6C11"/>
    <w:rsid w:val="00BC00B6"/>
    <w:rsid w:val="00BC01AA"/>
    <w:rsid w:val="00BC03F5"/>
    <w:rsid w:val="00BC05E3"/>
    <w:rsid w:val="00BC094F"/>
    <w:rsid w:val="00BC09AC"/>
    <w:rsid w:val="00BC2AFE"/>
    <w:rsid w:val="00BC4211"/>
    <w:rsid w:val="00BC44C5"/>
    <w:rsid w:val="00BC63EA"/>
    <w:rsid w:val="00BC6A54"/>
    <w:rsid w:val="00BC7BD4"/>
    <w:rsid w:val="00BD19DA"/>
    <w:rsid w:val="00BD299E"/>
    <w:rsid w:val="00BD5210"/>
    <w:rsid w:val="00BD53FB"/>
    <w:rsid w:val="00BD6D1A"/>
    <w:rsid w:val="00BD75A3"/>
    <w:rsid w:val="00BD7AEF"/>
    <w:rsid w:val="00BE14D2"/>
    <w:rsid w:val="00BE2772"/>
    <w:rsid w:val="00BE651F"/>
    <w:rsid w:val="00BE726D"/>
    <w:rsid w:val="00BF2541"/>
    <w:rsid w:val="00BF4473"/>
    <w:rsid w:val="00BF4E76"/>
    <w:rsid w:val="00BF6651"/>
    <w:rsid w:val="00BF6AD8"/>
    <w:rsid w:val="00C00648"/>
    <w:rsid w:val="00C023CE"/>
    <w:rsid w:val="00C04398"/>
    <w:rsid w:val="00C13299"/>
    <w:rsid w:val="00C13522"/>
    <w:rsid w:val="00C139C3"/>
    <w:rsid w:val="00C15ECE"/>
    <w:rsid w:val="00C236C1"/>
    <w:rsid w:val="00C24FFF"/>
    <w:rsid w:val="00C26A0D"/>
    <w:rsid w:val="00C27D11"/>
    <w:rsid w:val="00C3056C"/>
    <w:rsid w:val="00C3391B"/>
    <w:rsid w:val="00C33ADF"/>
    <w:rsid w:val="00C355A4"/>
    <w:rsid w:val="00C35655"/>
    <w:rsid w:val="00C35661"/>
    <w:rsid w:val="00C35E3D"/>
    <w:rsid w:val="00C408AB"/>
    <w:rsid w:val="00C41E31"/>
    <w:rsid w:val="00C41EF8"/>
    <w:rsid w:val="00C421E7"/>
    <w:rsid w:val="00C42F4A"/>
    <w:rsid w:val="00C430F7"/>
    <w:rsid w:val="00C4337B"/>
    <w:rsid w:val="00C44F38"/>
    <w:rsid w:val="00C47E30"/>
    <w:rsid w:val="00C52535"/>
    <w:rsid w:val="00C52EB7"/>
    <w:rsid w:val="00C52F00"/>
    <w:rsid w:val="00C53904"/>
    <w:rsid w:val="00C5530E"/>
    <w:rsid w:val="00C560AC"/>
    <w:rsid w:val="00C60087"/>
    <w:rsid w:val="00C604F9"/>
    <w:rsid w:val="00C60745"/>
    <w:rsid w:val="00C615C1"/>
    <w:rsid w:val="00C6209F"/>
    <w:rsid w:val="00C6317B"/>
    <w:rsid w:val="00C65035"/>
    <w:rsid w:val="00C718A4"/>
    <w:rsid w:val="00C71AF5"/>
    <w:rsid w:val="00C7259B"/>
    <w:rsid w:val="00C727AE"/>
    <w:rsid w:val="00C7280B"/>
    <w:rsid w:val="00C742CB"/>
    <w:rsid w:val="00C74318"/>
    <w:rsid w:val="00C76357"/>
    <w:rsid w:val="00C81071"/>
    <w:rsid w:val="00C81EF7"/>
    <w:rsid w:val="00C82597"/>
    <w:rsid w:val="00C826E0"/>
    <w:rsid w:val="00C8369A"/>
    <w:rsid w:val="00C85A23"/>
    <w:rsid w:val="00C8684D"/>
    <w:rsid w:val="00C868AA"/>
    <w:rsid w:val="00C87FFA"/>
    <w:rsid w:val="00C915FF"/>
    <w:rsid w:val="00C92B5F"/>
    <w:rsid w:val="00C9303D"/>
    <w:rsid w:val="00C938C4"/>
    <w:rsid w:val="00C93D8E"/>
    <w:rsid w:val="00C941AD"/>
    <w:rsid w:val="00C95D65"/>
    <w:rsid w:val="00C964AF"/>
    <w:rsid w:val="00C96F1B"/>
    <w:rsid w:val="00CA1496"/>
    <w:rsid w:val="00CA2B14"/>
    <w:rsid w:val="00CA6F88"/>
    <w:rsid w:val="00CA761D"/>
    <w:rsid w:val="00CB05A3"/>
    <w:rsid w:val="00CB27D6"/>
    <w:rsid w:val="00CB2FF0"/>
    <w:rsid w:val="00CB461E"/>
    <w:rsid w:val="00CB5836"/>
    <w:rsid w:val="00CB624A"/>
    <w:rsid w:val="00CB6A87"/>
    <w:rsid w:val="00CB7BAE"/>
    <w:rsid w:val="00CC053B"/>
    <w:rsid w:val="00CC0D4B"/>
    <w:rsid w:val="00CC20B4"/>
    <w:rsid w:val="00CC4CA9"/>
    <w:rsid w:val="00CC5D2B"/>
    <w:rsid w:val="00CC5FBA"/>
    <w:rsid w:val="00CD0623"/>
    <w:rsid w:val="00CD38AF"/>
    <w:rsid w:val="00CD5085"/>
    <w:rsid w:val="00CD63FD"/>
    <w:rsid w:val="00CD6ED8"/>
    <w:rsid w:val="00CE25B6"/>
    <w:rsid w:val="00CE3AC0"/>
    <w:rsid w:val="00CE4E0B"/>
    <w:rsid w:val="00CE50D2"/>
    <w:rsid w:val="00CE69C8"/>
    <w:rsid w:val="00CE76E8"/>
    <w:rsid w:val="00CF00CB"/>
    <w:rsid w:val="00CF287E"/>
    <w:rsid w:val="00CF358A"/>
    <w:rsid w:val="00CF4381"/>
    <w:rsid w:val="00CF6E44"/>
    <w:rsid w:val="00CF78FD"/>
    <w:rsid w:val="00CF7C92"/>
    <w:rsid w:val="00CF7CE1"/>
    <w:rsid w:val="00D002BB"/>
    <w:rsid w:val="00D009BC"/>
    <w:rsid w:val="00D02062"/>
    <w:rsid w:val="00D02BFC"/>
    <w:rsid w:val="00D0340E"/>
    <w:rsid w:val="00D038F9"/>
    <w:rsid w:val="00D0727A"/>
    <w:rsid w:val="00D10B90"/>
    <w:rsid w:val="00D11A64"/>
    <w:rsid w:val="00D12289"/>
    <w:rsid w:val="00D16735"/>
    <w:rsid w:val="00D22418"/>
    <w:rsid w:val="00D24D31"/>
    <w:rsid w:val="00D25099"/>
    <w:rsid w:val="00D25CCA"/>
    <w:rsid w:val="00D30E03"/>
    <w:rsid w:val="00D32A5F"/>
    <w:rsid w:val="00D34DCB"/>
    <w:rsid w:val="00D423D3"/>
    <w:rsid w:val="00D44F78"/>
    <w:rsid w:val="00D458BC"/>
    <w:rsid w:val="00D45EFB"/>
    <w:rsid w:val="00D469F3"/>
    <w:rsid w:val="00D5002F"/>
    <w:rsid w:val="00D50F8C"/>
    <w:rsid w:val="00D510CB"/>
    <w:rsid w:val="00D511EF"/>
    <w:rsid w:val="00D51BAC"/>
    <w:rsid w:val="00D52364"/>
    <w:rsid w:val="00D52B72"/>
    <w:rsid w:val="00D544FC"/>
    <w:rsid w:val="00D546EB"/>
    <w:rsid w:val="00D56085"/>
    <w:rsid w:val="00D56E45"/>
    <w:rsid w:val="00D56FED"/>
    <w:rsid w:val="00D5755B"/>
    <w:rsid w:val="00D577A7"/>
    <w:rsid w:val="00D57C3B"/>
    <w:rsid w:val="00D609E6"/>
    <w:rsid w:val="00D6196D"/>
    <w:rsid w:val="00D63336"/>
    <w:rsid w:val="00D65407"/>
    <w:rsid w:val="00D65AB8"/>
    <w:rsid w:val="00D664E3"/>
    <w:rsid w:val="00D6666A"/>
    <w:rsid w:val="00D675E5"/>
    <w:rsid w:val="00D70288"/>
    <w:rsid w:val="00D715FC"/>
    <w:rsid w:val="00D71D40"/>
    <w:rsid w:val="00D724F8"/>
    <w:rsid w:val="00D76502"/>
    <w:rsid w:val="00D768BA"/>
    <w:rsid w:val="00D77CAB"/>
    <w:rsid w:val="00D77FE1"/>
    <w:rsid w:val="00D81364"/>
    <w:rsid w:val="00D81A60"/>
    <w:rsid w:val="00D83C04"/>
    <w:rsid w:val="00D864D5"/>
    <w:rsid w:val="00D8702E"/>
    <w:rsid w:val="00D87661"/>
    <w:rsid w:val="00D877A2"/>
    <w:rsid w:val="00D87F35"/>
    <w:rsid w:val="00D91E33"/>
    <w:rsid w:val="00D92664"/>
    <w:rsid w:val="00D926BC"/>
    <w:rsid w:val="00D9293D"/>
    <w:rsid w:val="00D92E04"/>
    <w:rsid w:val="00D967D6"/>
    <w:rsid w:val="00DA0875"/>
    <w:rsid w:val="00DA23C8"/>
    <w:rsid w:val="00DA2992"/>
    <w:rsid w:val="00DA2AD6"/>
    <w:rsid w:val="00DA2DC2"/>
    <w:rsid w:val="00DA57A7"/>
    <w:rsid w:val="00DA6FF4"/>
    <w:rsid w:val="00DA7306"/>
    <w:rsid w:val="00DA74FA"/>
    <w:rsid w:val="00DA7AB6"/>
    <w:rsid w:val="00DB364D"/>
    <w:rsid w:val="00DB38DC"/>
    <w:rsid w:val="00DB573E"/>
    <w:rsid w:val="00DB6752"/>
    <w:rsid w:val="00DB7641"/>
    <w:rsid w:val="00DC0138"/>
    <w:rsid w:val="00DC5BB1"/>
    <w:rsid w:val="00DC736D"/>
    <w:rsid w:val="00DD06BC"/>
    <w:rsid w:val="00DD243C"/>
    <w:rsid w:val="00DD2760"/>
    <w:rsid w:val="00DD48A2"/>
    <w:rsid w:val="00DD4FB6"/>
    <w:rsid w:val="00DD5141"/>
    <w:rsid w:val="00DD6181"/>
    <w:rsid w:val="00DD774A"/>
    <w:rsid w:val="00DE0275"/>
    <w:rsid w:val="00DE20B9"/>
    <w:rsid w:val="00DE23A4"/>
    <w:rsid w:val="00DE2E23"/>
    <w:rsid w:val="00DE6628"/>
    <w:rsid w:val="00DE68B6"/>
    <w:rsid w:val="00DE75C3"/>
    <w:rsid w:val="00DE7825"/>
    <w:rsid w:val="00DF0B83"/>
    <w:rsid w:val="00DF28BE"/>
    <w:rsid w:val="00DF387A"/>
    <w:rsid w:val="00DF3F1B"/>
    <w:rsid w:val="00DF5C2E"/>
    <w:rsid w:val="00DF5CEF"/>
    <w:rsid w:val="00E03325"/>
    <w:rsid w:val="00E061F5"/>
    <w:rsid w:val="00E07360"/>
    <w:rsid w:val="00E10265"/>
    <w:rsid w:val="00E1242A"/>
    <w:rsid w:val="00E125E0"/>
    <w:rsid w:val="00E14BBE"/>
    <w:rsid w:val="00E160D4"/>
    <w:rsid w:val="00E16A4E"/>
    <w:rsid w:val="00E17347"/>
    <w:rsid w:val="00E17C97"/>
    <w:rsid w:val="00E21CC5"/>
    <w:rsid w:val="00E23011"/>
    <w:rsid w:val="00E24CCF"/>
    <w:rsid w:val="00E24DBD"/>
    <w:rsid w:val="00E25993"/>
    <w:rsid w:val="00E25EEC"/>
    <w:rsid w:val="00E2642F"/>
    <w:rsid w:val="00E27A6F"/>
    <w:rsid w:val="00E27FCF"/>
    <w:rsid w:val="00E32E62"/>
    <w:rsid w:val="00E3342A"/>
    <w:rsid w:val="00E368BA"/>
    <w:rsid w:val="00E37436"/>
    <w:rsid w:val="00E40D4E"/>
    <w:rsid w:val="00E41BA2"/>
    <w:rsid w:val="00E427AC"/>
    <w:rsid w:val="00E42F5F"/>
    <w:rsid w:val="00E4450B"/>
    <w:rsid w:val="00E44A52"/>
    <w:rsid w:val="00E4551E"/>
    <w:rsid w:val="00E45955"/>
    <w:rsid w:val="00E47476"/>
    <w:rsid w:val="00E47668"/>
    <w:rsid w:val="00E479BB"/>
    <w:rsid w:val="00E50060"/>
    <w:rsid w:val="00E52349"/>
    <w:rsid w:val="00E53A55"/>
    <w:rsid w:val="00E55E6A"/>
    <w:rsid w:val="00E56FEF"/>
    <w:rsid w:val="00E62959"/>
    <w:rsid w:val="00E6370C"/>
    <w:rsid w:val="00E64B6D"/>
    <w:rsid w:val="00E675FA"/>
    <w:rsid w:val="00E67954"/>
    <w:rsid w:val="00E704B9"/>
    <w:rsid w:val="00E70D80"/>
    <w:rsid w:val="00E77191"/>
    <w:rsid w:val="00E80C83"/>
    <w:rsid w:val="00E81569"/>
    <w:rsid w:val="00E815F3"/>
    <w:rsid w:val="00E82887"/>
    <w:rsid w:val="00E84750"/>
    <w:rsid w:val="00E853EF"/>
    <w:rsid w:val="00E8711B"/>
    <w:rsid w:val="00E87901"/>
    <w:rsid w:val="00E90909"/>
    <w:rsid w:val="00E9321A"/>
    <w:rsid w:val="00E95CFE"/>
    <w:rsid w:val="00E96B61"/>
    <w:rsid w:val="00EA0237"/>
    <w:rsid w:val="00EA170C"/>
    <w:rsid w:val="00EA54B0"/>
    <w:rsid w:val="00EA77FF"/>
    <w:rsid w:val="00EA78E7"/>
    <w:rsid w:val="00EB2B4A"/>
    <w:rsid w:val="00EB3CE4"/>
    <w:rsid w:val="00EB64F7"/>
    <w:rsid w:val="00EC1625"/>
    <w:rsid w:val="00EC3823"/>
    <w:rsid w:val="00EC460B"/>
    <w:rsid w:val="00EC6102"/>
    <w:rsid w:val="00EC7D06"/>
    <w:rsid w:val="00ED00AB"/>
    <w:rsid w:val="00ED0F16"/>
    <w:rsid w:val="00ED1D07"/>
    <w:rsid w:val="00ED3B21"/>
    <w:rsid w:val="00ED4249"/>
    <w:rsid w:val="00ED5FE4"/>
    <w:rsid w:val="00ED62E6"/>
    <w:rsid w:val="00EE0AA7"/>
    <w:rsid w:val="00EE102A"/>
    <w:rsid w:val="00EE3E35"/>
    <w:rsid w:val="00EE3EAB"/>
    <w:rsid w:val="00EE48BB"/>
    <w:rsid w:val="00EF065B"/>
    <w:rsid w:val="00EF2074"/>
    <w:rsid w:val="00EF250B"/>
    <w:rsid w:val="00EF34CB"/>
    <w:rsid w:val="00EF34F5"/>
    <w:rsid w:val="00EF366A"/>
    <w:rsid w:val="00EF54B4"/>
    <w:rsid w:val="00F029CF"/>
    <w:rsid w:val="00F05271"/>
    <w:rsid w:val="00F064B6"/>
    <w:rsid w:val="00F07DA9"/>
    <w:rsid w:val="00F11F89"/>
    <w:rsid w:val="00F12617"/>
    <w:rsid w:val="00F14677"/>
    <w:rsid w:val="00F15AB5"/>
    <w:rsid w:val="00F16166"/>
    <w:rsid w:val="00F16285"/>
    <w:rsid w:val="00F208B8"/>
    <w:rsid w:val="00F21966"/>
    <w:rsid w:val="00F24B0A"/>
    <w:rsid w:val="00F263F8"/>
    <w:rsid w:val="00F26B9C"/>
    <w:rsid w:val="00F27774"/>
    <w:rsid w:val="00F31DAA"/>
    <w:rsid w:val="00F3384E"/>
    <w:rsid w:val="00F36FA8"/>
    <w:rsid w:val="00F37F5A"/>
    <w:rsid w:val="00F37FF9"/>
    <w:rsid w:val="00F41063"/>
    <w:rsid w:val="00F42289"/>
    <w:rsid w:val="00F42C36"/>
    <w:rsid w:val="00F440F9"/>
    <w:rsid w:val="00F44B1B"/>
    <w:rsid w:val="00F47F4C"/>
    <w:rsid w:val="00F51227"/>
    <w:rsid w:val="00F523D5"/>
    <w:rsid w:val="00F53192"/>
    <w:rsid w:val="00F5349F"/>
    <w:rsid w:val="00F55621"/>
    <w:rsid w:val="00F5675D"/>
    <w:rsid w:val="00F606DE"/>
    <w:rsid w:val="00F653B5"/>
    <w:rsid w:val="00F66B0B"/>
    <w:rsid w:val="00F67C8A"/>
    <w:rsid w:val="00F73E85"/>
    <w:rsid w:val="00F743A3"/>
    <w:rsid w:val="00F74620"/>
    <w:rsid w:val="00F81C8E"/>
    <w:rsid w:val="00F81D13"/>
    <w:rsid w:val="00F84A4F"/>
    <w:rsid w:val="00F8574A"/>
    <w:rsid w:val="00F866EE"/>
    <w:rsid w:val="00F90449"/>
    <w:rsid w:val="00F91672"/>
    <w:rsid w:val="00F91CA2"/>
    <w:rsid w:val="00F93774"/>
    <w:rsid w:val="00F93A2E"/>
    <w:rsid w:val="00F93B63"/>
    <w:rsid w:val="00F94F41"/>
    <w:rsid w:val="00F956E3"/>
    <w:rsid w:val="00F9740C"/>
    <w:rsid w:val="00F97FD6"/>
    <w:rsid w:val="00FA0E49"/>
    <w:rsid w:val="00FA107A"/>
    <w:rsid w:val="00FA11D4"/>
    <w:rsid w:val="00FA2250"/>
    <w:rsid w:val="00FA2D28"/>
    <w:rsid w:val="00FA426C"/>
    <w:rsid w:val="00FA64F4"/>
    <w:rsid w:val="00FB0A71"/>
    <w:rsid w:val="00FB0C8C"/>
    <w:rsid w:val="00FB12D3"/>
    <w:rsid w:val="00FB1323"/>
    <w:rsid w:val="00FB1377"/>
    <w:rsid w:val="00FB187A"/>
    <w:rsid w:val="00FB37ED"/>
    <w:rsid w:val="00FB4082"/>
    <w:rsid w:val="00FB4CBA"/>
    <w:rsid w:val="00FB5EE0"/>
    <w:rsid w:val="00FB6229"/>
    <w:rsid w:val="00FB66BE"/>
    <w:rsid w:val="00FB77F1"/>
    <w:rsid w:val="00FC0889"/>
    <w:rsid w:val="00FC0B66"/>
    <w:rsid w:val="00FC138E"/>
    <w:rsid w:val="00FC3BE7"/>
    <w:rsid w:val="00FC5442"/>
    <w:rsid w:val="00FC6B7B"/>
    <w:rsid w:val="00FC762E"/>
    <w:rsid w:val="00FD101D"/>
    <w:rsid w:val="00FD141D"/>
    <w:rsid w:val="00FD287A"/>
    <w:rsid w:val="00FD38BD"/>
    <w:rsid w:val="00FD420C"/>
    <w:rsid w:val="00FD5195"/>
    <w:rsid w:val="00FD6B68"/>
    <w:rsid w:val="00FD7D1C"/>
    <w:rsid w:val="00FE26C2"/>
    <w:rsid w:val="00FE2A06"/>
    <w:rsid w:val="00FE5E97"/>
    <w:rsid w:val="00FE6B65"/>
    <w:rsid w:val="00FE7919"/>
    <w:rsid w:val="00FF1425"/>
    <w:rsid w:val="00FF46A0"/>
    <w:rsid w:val="00FF50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C6266"/>
  <w15:chartTrackingRefBased/>
  <w15:docId w15:val="{0F0A1A66-0088-4BD2-9876-42FAB9C1E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6A59"/>
  </w:style>
  <w:style w:type="paragraph" w:styleId="Heading1">
    <w:name w:val="heading 1"/>
    <w:basedOn w:val="Normal"/>
    <w:next w:val="Normal"/>
    <w:link w:val="Heading1Char"/>
    <w:uiPriority w:val="9"/>
    <w:qFormat/>
    <w:rsid w:val="00A30154"/>
    <w:pPr>
      <w:outlineLvl w:val="0"/>
    </w:pPr>
    <w:rPr>
      <w:rFonts w:ascii="Cambria" w:eastAsia="Calibri" w:hAnsi="Cambria" w:cs="Times New Roman"/>
      <w:b/>
      <w:smallCaps/>
      <w:color w:val="2F5496"/>
      <w:sz w:val="40"/>
      <w:szCs w:val="40"/>
    </w:rPr>
  </w:style>
  <w:style w:type="paragraph" w:styleId="Heading2">
    <w:name w:val="heading 2"/>
    <w:basedOn w:val="Normal"/>
    <w:next w:val="Normal"/>
    <w:link w:val="Heading2Char"/>
    <w:uiPriority w:val="9"/>
    <w:unhideWhenUsed/>
    <w:qFormat/>
    <w:rsid w:val="00A47B91"/>
    <w:pPr>
      <w:keepNext/>
      <w:spacing w:before="240" w:after="60" w:line="276" w:lineRule="auto"/>
      <w:outlineLvl w:val="1"/>
    </w:pPr>
    <w:rPr>
      <w:rFonts w:ascii="Cambria" w:eastAsia="Times New Roman" w:hAnsi="Cambria" w:cs="Times New Roman"/>
      <w:b/>
      <w:bCs/>
      <w:sz w:val="28"/>
      <w:szCs w:val="28"/>
    </w:rPr>
  </w:style>
  <w:style w:type="paragraph" w:styleId="Heading3">
    <w:name w:val="heading 3"/>
    <w:basedOn w:val="Normal"/>
    <w:next w:val="Normal"/>
    <w:link w:val="Heading3Char"/>
    <w:uiPriority w:val="9"/>
    <w:unhideWhenUsed/>
    <w:qFormat/>
    <w:rsid w:val="00FD101D"/>
    <w:pPr>
      <w:keepNext/>
      <w:keepLines/>
      <w:pBdr>
        <w:bottom w:val="single" w:sz="12" w:space="3" w:color="auto"/>
      </w:pBdr>
      <w:spacing w:before="160" w:after="80"/>
      <w:outlineLvl w:val="2"/>
    </w:pPr>
    <w:rPr>
      <w:rFonts w:ascii="Cambria" w:eastAsiaTheme="majorEastAsia" w:hAnsi="Cambria" w:cstheme="majorBidi"/>
      <w:b/>
      <w:bCs/>
      <w:smallCaps/>
      <w:color w:val="374C80" w:themeColor="accent1" w:themeShade="BF"/>
      <w:sz w:val="28"/>
      <w:szCs w:val="28"/>
    </w:rPr>
  </w:style>
  <w:style w:type="paragraph" w:styleId="Heading4">
    <w:name w:val="heading 4"/>
    <w:basedOn w:val="Normal"/>
    <w:next w:val="Normal"/>
    <w:link w:val="Heading4Char"/>
    <w:uiPriority w:val="9"/>
    <w:unhideWhenUsed/>
    <w:qFormat/>
    <w:rsid w:val="00C60087"/>
    <w:pPr>
      <w:spacing w:before="240"/>
      <w:jc w:val="both"/>
      <w:outlineLvl w:val="3"/>
    </w:pPr>
    <w:rPr>
      <w:rFonts w:ascii="Cambria" w:eastAsia="Calibri" w:hAnsi="Cambria" w:cs="Times New Roman"/>
      <w:b/>
      <w:bCs/>
      <w:sz w:val="24"/>
      <w:szCs w:val="24"/>
    </w:rPr>
  </w:style>
  <w:style w:type="paragraph" w:styleId="Heading5">
    <w:name w:val="heading 5"/>
    <w:basedOn w:val="Normal"/>
    <w:next w:val="Normal"/>
    <w:link w:val="Heading5Char"/>
    <w:uiPriority w:val="9"/>
    <w:semiHidden/>
    <w:unhideWhenUsed/>
    <w:qFormat/>
    <w:rsid w:val="00F91CA2"/>
    <w:pPr>
      <w:keepNext/>
      <w:keepLines/>
      <w:spacing w:before="80" w:after="40"/>
      <w:outlineLvl w:val="4"/>
    </w:pPr>
    <w:rPr>
      <w:rFonts w:eastAsiaTheme="majorEastAsia" w:cstheme="majorBidi"/>
      <w:color w:val="374C80" w:themeColor="accent1" w:themeShade="BF"/>
    </w:rPr>
  </w:style>
  <w:style w:type="paragraph" w:styleId="Heading6">
    <w:name w:val="heading 6"/>
    <w:basedOn w:val="Normal"/>
    <w:next w:val="Normal"/>
    <w:link w:val="Heading6Char"/>
    <w:uiPriority w:val="9"/>
    <w:semiHidden/>
    <w:unhideWhenUsed/>
    <w:qFormat/>
    <w:rsid w:val="00F91CA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91CA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91CA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91CA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TNR14Blue">
    <w:name w:val="Heading TNR 14 Blue"/>
    <w:basedOn w:val="Heading1"/>
    <w:link w:val="HeadingTNR14BlueChar"/>
    <w:autoRedefine/>
    <w:qFormat/>
    <w:rsid w:val="00B16A59"/>
    <w:pPr>
      <w:widowControl w:val="0"/>
      <w:autoSpaceDE w:val="0"/>
      <w:autoSpaceDN w:val="0"/>
      <w:spacing w:line="240" w:lineRule="auto"/>
      <w:jc w:val="both"/>
    </w:pPr>
    <w:rPr>
      <w:rFonts w:ascii="Times New Roman" w:eastAsia="Arial" w:hAnsi="Times New Roman"/>
      <w:b w:val="0"/>
      <w:bCs/>
      <w:color w:val="002060"/>
      <w:sz w:val="28"/>
      <w:lang w:bidi="en-US"/>
    </w:rPr>
  </w:style>
  <w:style w:type="character" w:customStyle="1" w:styleId="HeadingTNR14BlueChar">
    <w:name w:val="Heading TNR 14 Blue Char"/>
    <w:basedOn w:val="DefaultParagraphFont"/>
    <w:link w:val="HeadingTNR14Blue"/>
    <w:rsid w:val="00B16A59"/>
    <w:rPr>
      <w:rFonts w:ascii="Times New Roman" w:eastAsia="Arial" w:hAnsi="Times New Roman" w:cs="Times New Roman"/>
      <w:b/>
      <w:bCs/>
      <w:color w:val="002060"/>
      <w:sz w:val="28"/>
      <w:szCs w:val="32"/>
      <w:lang w:bidi="en-US"/>
    </w:rPr>
  </w:style>
  <w:style w:type="character" w:customStyle="1" w:styleId="Heading1Char">
    <w:name w:val="Heading 1 Char"/>
    <w:basedOn w:val="DefaultParagraphFont"/>
    <w:link w:val="Heading1"/>
    <w:uiPriority w:val="9"/>
    <w:rsid w:val="00A30154"/>
    <w:rPr>
      <w:rFonts w:ascii="Cambria" w:eastAsia="Calibri" w:hAnsi="Cambria" w:cs="Times New Roman"/>
      <w:b/>
      <w:smallCaps/>
      <w:color w:val="2F5496"/>
      <w:sz w:val="40"/>
      <w:szCs w:val="40"/>
    </w:rPr>
  </w:style>
  <w:style w:type="paragraph" w:customStyle="1" w:styleId="HeadTNR16">
    <w:name w:val="Head TNR16"/>
    <w:basedOn w:val="Heading1"/>
    <w:autoRedefine/>
    <w:qFormat/>
    <w:rsid w:val="00B16A59"/>
    <w:pPr>
      <w:widowControl w:val="0"/>
      <w:numPr>
        <w:numId w:val="2"/>
      </w:numPr>
      <w:autoSpaceDE w:val="0"/>
      <w:autoSpaceDN w:val="0"/>
      <w:spacing w:before="92" w:line="240" w:lineRule="auto"/>
      <w:jc w:val="both"/>
    </w:pPr>
    <w:rPr>
      <w:rFonts w:ascii="Times New Roman" w:eastAsia="Arial" w:hAnsi="Times New Roman"/>
      <w:b w:val="0"/>
      <w:bCs/>
      <w:color w:val="002060"/>
      <w:sz w:val="36"/>
      <w:szCs w:val="36"/>
      <w:lang w:bidi="en-US"/>
    </w:rPr>
  </w:style>
  <w:style w:type="paragraph" w:styleId="TOCHeading">
    <w:name w:val="TOC Heading"/>
    <w:basedOn w:val="Heading1"/>
    <w:next w:val="Normal"/>
    <w:autoRedefine/>
    <w:uiPriority w:val="39"/>
    <w:unhideWhenUsed/>
    <w:qFormat/>
    <w:rsid w:val="00B16A59"/>
    <w:pPr>
      <w:outlineLvl w:val="9"/>
    </w:pPr>
    <w:rPr>
      <w:rFonts w:ascii="Times New Roman" w:eastAsia="Arial" w:hAnsi="Times New Roman"/>
      <w:color w:val="auto"/>
      <w:sz w:val="22"/>
      <w:szCs w:val="22"/>
      <w:lang w:bidi="en-US"/>
    </w:rPr>
  </w:style>
  <w:style w:type="paragraph" w:customStyle="1" w:styleId="TOCTNR12">
    <w:name w:val="TOC TNR12"/>
    <w:basedOn w:val="TOCHeading"/>
    <w:link w:val="TOCTNR12Char"/>
    <w:autoRedefine/>
    <w:qFormat/>
    <w:rsid w:val="00B16A59"/>
    <w:rPr>
      <w:sz w:val="24"/>
      <w:szCs w:val="24"/>
    </w:rPr>
  </w:style>
  <w:style w:type="character" w:customStyle="1" w:styleId="TOCTNR12Char">
    <w:name w:val="TOC TNR12 Char"/>
    <w:basedOn w:val="DefaultParagraphFont"/>
    <w:link w:val="TOCTNR12"/>
    <w:rsid w:val="00B16A59"/>
    <w:rPr>
      <w:rFonts w:ascii="Times New Roman" w:eastAsia="Arial" w:hAnsi="Times New Roman" w:cs="Times New Roman"/>
      <w:sz w:val="24"/>
      <w:szCs w:val="24"/>
      <w:lang w:bidi="en-US"/>
    </w:rPr>
  </w:style>
  <w:style w:type="paragraph" w:styleId="TOC1">
    <w:name w:val="toc 1"/>
    <w:aliases w:val="TOC X"/>
    <w:basedOn w:val="Normal"/>
    <w:autoRedefine/>
    <w:uiPriority w:val="39"/>
    <w:qFormat/>
    <w:rsid w:val="008D0A07"/>
    <w:pPr>
      <w:widowControl w:val="0"/>
      <w:tabs>
        <w:tab w:val="right" w:leader="dot" w:pos="9350"/>
      </w:tabs>
      <w:autoSpaceDE w:val="0"/>
      <w:autoSpaceDN w:val="0"/>
      <w:spacing w:before="120" w:after="120" w:line="240" w:lineRule="auto"/>
      <w:contextualSpacing/>
    </w:pPr>
    <w:rPr>
      <w:rFonts w:ascii="Times New Roman" w:eastAsia="Arial" w:hAnsi="Times New Roman" w:cstheme="minorHAnsi"/>
      <w:bCs/>
      <w:sz w:val="24"/>
      <w:szCs w:val="20"/>
      <w:lang w:bidi="en-US"/>
    </w:rPr>
  </w:style>
  <w:style w:type="paragraph" w:customStyle="1" w:styleId="HeadingPrime">
    <w:name w:val="Heading Prime"/>
    <w:basedOn w:val="Heading1"/>
    <w:link w:val="HeadingPrimeChar"/>
    <w:qFormat/>
    <w:rsid w:val="00B16A59"/>
    <w:rPr>
      <w:rFonts w:eastAsia="Times New Roman"/>
      <w:b w:val="0"/>
      <w:bCs/>
      <w:smallCaps w:val="0"/>
      <w:spacing w:val="6"/>
      <w:szCs w:val="24"/>
      <w:lang w:eastAsia="x-none"/>
    </w:rPr>
  </w:style>
  <w:style w:type="character" w:customStyle="1" w:styleId="HeadingPrimeChar">
    <w:name w:val="Heading Prime Char"/>
    <w:basedOn w:val="Heading1Char"/>
    <w:link w:val="HeadingPrime"/>
    <w:rsid w:val="00B16A59"/>
    <w:rPr>
      <w:rFonts w:ascii="Cambria" w:eastAsia="Times New Roman" w:hAnsi="Cambria" w:cstheme="majorBidi"/>
      <w:b w:val="0"/>
      <w:bCs/>
      <w:smallCaps w:val="0"/>
      <w:color w:val="374C80" w:themeColor="accent1" w:themeShade="BF"/>
      <w:spacing w:val="6"/>
      <w:sz w:val="40"/>
      <w:szCs w:val="24"/>
      <w:lang w:eastAsia="x-none"/>
    </w:rPr>
  </w:style>
  <w:style w:type="paragraph" w:customStyle="1" w:styleId="HeadingTNR16Blue">
    <w:name w:val="Heading TNR 16 Blue"/>
    <w:basedOn w:val="Heading1"/>
    <w:link w:val="HeadingTNR16BlueChar"/>
    <w:qFormat/>
    <w:rsid w:val="00B16A59"/>
    <w:pPr>
      <w:widowControl w:val="0"/>
      <w:autoSpaceDE w:val="0"/>
      <w:autoSpaceDN w:val="0"/>
      <w:spacing w:line="240" w:lineRule="auto"/>
      <w:jc w:val="both"/>
    </w:pPr>
    <w:rPr>
      <w:rFonts w:ascii="Times New Roman" w:eastAsia="Arial" w:hAnsi="Times New Roman"/>
      <w:b w:val="0"/>
      <w:bCs/>
      <w:color w:val="002060"/>
      <w:lang w:bidi="en-US"/>
    </w:rPr>
  </w:style>
  <w:style w:type="character" w:customStyle="1" w:styleId="HeadingTNR16BlueChar">
    <w:name w:val="Heading TNR 16 Blue Char"/>
    <w:basedOn w:val="Heading1Char"/>
    <w:link w:val="HeadingTNR16Blue"/>
    <w:rsid w:val="00B16A59"/>
    <w:rPr>
      <w:rFonts w:ascii="Times New Roman" w:eastAsia="Arial" w:hAnsi="Times New Roman" w:cs="Times New Roman"/>
      <w:b w:val="0"/>
      <w:bCs/>
      <w:smallCaps/>
      <w:color w:val="002060"/>
      <w:sz w:val="32"/>
      <w:szCs w:val="32"/>
      <w:lang w:bidi="en-US"/>
    </w:rPr>
  </w:style>
  <w:style w:type="paragraph" w:styleId="TOC2">
    <w:name w:val="toc 2"/>
    <w:basedOn w:val="Normal"/>
    <w:uiPriority w:val="39"/>
    <w:qFormat/>
    <w:rsid w:val="00B16A59"/>
    <w:pPr>
      <w:widowControl w:val="0"/>
      <w:autoSpaceDE w:val="0"/>
      <w:autoSpaceDN w:val="0"/>
      <w:spacing w:before="246" w:after="0" w:line="240" w:lineRule="auto"/>
      <w:ind w:left="465"/>
    </w:pPr>
    <w:rPr>
      <w:rFonts w:ascii="Arial" w:eastAsia="Arial" w:hAnsi="Arial" w:cs="Arial"/>
      <w:lang w:bidi="en-US"/>
    </w:rPr>
  </w:style>
  <w:style w:type="paragraph" w:styleId="ListParagraph">
    <w:name w:val="List Paragraph"/>
    <w:basedOn w:val="Normal"/>
    <w:uiPriority w:val="34"/>
    <w:qFormat/>
    <w:rsid w:val="00B16A59"/>
    <w:pPr>
      <w:ind w:left="720"/>
      <w:contextualSpacing/>
    </w:pPr>
  </w:style>
  <w:style w:type="character" w:customStyle="1" w:styleId="Heading2Char">
    <w:name w:val="Heading 2 Char"/>
    <w:basedOn w:val="DefaultParagraphFont"/>
    <w:link w:val="Heading2"/>
    <w:uiPriority w:val="9"/>
    <w:rsid w:val="00A47B91"/>
    <w:rPr>
      <w:rFonts w:ascii="Cambria" w:eastAsia="Times New Roman" w:hAnsi="Cambria" w:cs="Times New Roman"/>
      <w:b/>
      <w:bCs/>
      <w:sz w:val="28"/>
      <w:szCs w:val="28"/>
    </w:rPr>
  </w:style>
  <w:style w:type="character" w:customStyle="1" w:styleId="Heading3Char">
    <w:name w:val="Heading 3 Char"/>
    <w:basedOn w:val="DefaultParagraphFont"/>
    <w:link w:val="Heading3"/>
    <w:uiPriority w:val="9"/>
    <w:rsid w:val="00FD101D"/>
    <w:rPr>
      <w:rFonts w:ascii="Cambria" w:eastAsiaTheme="majorEastAsia" w:hAnsi="Cambria" w:cstheme="majorBidi"/>
      <w:b/>
      <w:bCs/>
      <w:smallCaps/>
      <w:color w:val="374C80" w:themeColor="accent1" w:themeShade="BF"/>
      <w:sz w:val="28"/>
      <w:szCs w:val="28"/>
    </w:rPr>
  </w:style>
  <w:style w:type="character" w:customStyle="1" w:styleId="Heading4Char">
    <w:name w:val="Heading 4 Char"/>
    <w:basedOn w:val="DefaultParagraphFont"/>
    <w:link w:val="Heading4"/>
    <w:uiPriority w:val="9"/>
    <w:rsid w:val="00C60087"/>
    <w:rPr>
      <w:rFonts w:ascii="Cambria" w:eastAsia="Calibri" w:hAnsi="Cambria" w:cs="Times New Roman"/>
      <w:b/>
      <w:bCs/>
      <w:sz w:val="24"/>
      <w:szCs w:val="24"/>
    </w:rPr>
  </w:style>
  <w:style w:type="character" w:customStyle="1" w:styleId="Heading5Char">
    <w:name w:val="Heading 5 Char"/>
    <w:basedOn w:val="DefaultParagraphFont"/>
    <w:link w:val="Heading5"/>
    <w:uiPriority w:val="9"/>
    <w:semiHidden/>
    <w:rsid w:val="00F91CA2"/>
    <w:rPr>
      <w:rFonts w:eastAsiaTheme="majorEastAsia" w:cstheme="majorBidi"/>
      <w:color w:val="374C80" w:themeColor="accent1" w:themeShade="BF"/>
    </w:rPr>
  </w:style>
  <w:style w:type="character" w:customStyle="1" w:styleId="Heading6Char">
    <w:name w:val="Heading 6 Char"/>
    <w:basedOn w:val="DefaultParagraphFont"/>
    <w:link w:val="Heading6"/>
    <w:uiPriority w:val="9"/>
    <w:semiHidden/>
    <w:rsid w:val="00F91C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91C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91C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91CA2"/>
    <w:rPr>
      <w:rFonts w:eastAsiaTheme="majorEastAsia" w:cstheme="majorBidi"/>
      <w:color w:val="272727" w:themeColor="text1" w:themeTint="D8"/>
    </w:rPr>
  </w:style>
  <w:style w:type="paragraph" w:styleId="Title">
    <w:name w:val="Title"/>
    <w:basedOn w:val="Normal"/>
    <w:next w:val="Normal"/>
    <w:link w:val="TitleChar"/>
    <w:uiPriority w:val="10"/>
    <w:qFormat/>
    <w:rsid w:val="00F91C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91C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91CA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91C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91CA2"/>
    <w:pPr>
      <w:spacing w:before="160"/>
      <w:jc w:val="center"/>
    </w:pPr>
    <w:rPr>
      <w:i/>
      <w:iCs/>
      <w:color w:val="404040" w:themeColor="text1" w:themeTint="BF"/>
    </w:rPr>
  </w:style>
  <w:style w:type="character" w:customStyle="1" w:styleId="QuoteChar">
    <w:name w:val="Quote Char"/>
    <w:basedOn w:val="DefaultParagraphFont"/>
    <w:link w:val="Quote"/>
    <w:uiPriority w:val="29"/>
    <w:rsid w:val="00F91CA2"/>
    <w:rPr>
      <w:i/>
      <w:iCs/>
      <w:color w:val="404040" w:themeColor="text1" w:themeTint="BF"/>
    </w:rPr>
  </w:style>
  <w:style w:type="character" w:styleId="IntenseEmphasis">
    <w:name w:val="Intense Emphasis"/>
    <w:basedOn w:val="DefaultParagraphFont"/>
    <w:uiPriority w:val="21"/>
    <w:qFormat/>
    <w:rsid w:val="00F91CA2"/>
    <w:rPr>
      <w:i/>
      <w:iCs/>
      <w:color w:val="374C80" w:themeColor="accent1" w:themeShade="BF"/>
    </w:rPr>
  </w:style>
  <w:style w:type="paragraph" w:styleId="IntenseQuote">
    <w:name w:val="Intense Quote"/>
    <w:basedOn w:val="Normal"/>
    <w:next w:val="Normal"/>
    <w:link w:val="IntenseQuoteChar"/>
    <w:uiPriority w:val="30"/>
    <w:qFormat/>
    <w:rsid w:val="00F91CA2"/>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IntenseQuoteChar">
    <w:name w:val="Intense Quote Char"/>
    <w:basedOn w:val="DefaultParagraphFont"/>
    <w:link w:val="IntenseQuote"/>
    <w:uiPriority w:val="30"/>
    <w:rsid w:val="00F91CA2"/>
    <w:rPr>
      <w:i/>
      <w:iCs/>
      <w:color w:val="374C80" w:themeColor="accent1" w:themeShade="BF"/>
    </w:rPr>
  </w:style>
  <w:style w:type="character" w:styleId="IntenseReference">
    <w:name w:val="Intense Reference"/>
    <w:basedOn w:val="DefaultParagraphFont"/>
    <w:uiPriority w:val="32"/>
    <w:qFormat/>
    <w:rsid w:val="00F91CA2"/>
    <w:rPr>
      <w:b/>
      <w:bCs/>
      <w:smallCaps/>
      <w:color w:val="374C80" w:themeColor="accent1" w:themeShade="BF"/>
      <w:spacing w:val="5"/>
    </w:rPr>
  </w:style>
  <w:style w:type="character" w:styleId="Hyperlink">
    <w:name w:val="Hyperlink"/>
    <w:uiPriority w:val="99"/>
    <w:unhideWhenUsed/>
    <w:rsid w:val="00F91CA2"/>
    <w:rPr>
      <w:color w:val="0563C1"/>
      <w:u w:val="single"/>
    </w:rPr>
  </w:style>
  <w:style w:type="paragraph" w:styleId="Header">
    <w:name w:val="header"/>
    <w:basedOn w:val="Normal"/>
    <w:link w:val="HeaderChar"/>
    <w:uiPriority w:val="99"/>
    <w:unhideWhenUsed/>
    <w:rsid w:val="00F91C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1CA2"/>
  </w:style>
  <w:style w:type="paragraph" w:styleId="Footer">
    <w:name w:val="footer"/>
    <w:basedOn w:val="Normal"/>
    <w:link w:val="FooterChar"/>
    <w:uiPriority w:val="99"/>
    <w:unhideWhenUsed/>
    <w:rsid w:val="00F91C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1CA2"/>
  </w:style>
  <w:style w:type="paragraph" w:styleId="TOC3">
    <w:name w:val="toc 3"/>
    <w:basedOn w:val="Normal"/>
    <w:next w:val="Normal"/>
    <w:autoRedefine/>
    <w:uiPriority w:val="39"/>
    <w:unhideWhenUsed/>
    <w:rsid w:val="00A30154"/>
    <w:pPr>
      <w:tabs>
        <w:tab w:val="right" w:leader="dot" w:pos="9360"/>
      </w:tabs>
      <w:spacing w:after="100"/>
      <w:ind w:left="440" w:right="-540"/>
    </w:pPr>
    <w:rPr>
      <w:rFonts w:ascii="Calibri" w:eastAsia="Times New Roman" w:hAnsi="Calibri" w:cs="Times New Roman"/>
    </w:rPr>
  </w:style>
  <w:style w:type="paragraph" w:customStyle="1" w:styleId="Cambriabold">
    <w:name w:val="Cambria bold"/>
    <w:basedOn w:val="Normal"/>
    <w:link w:val="CambriaboldChar"/>
    <w:qFormat/>
    <w:rsid w:val="00A30154"/>
    <w:pPr>
      <w:spacing w:before="240"/>
      <w:jc w:val="both"/>
    </w:pPr>
    <w:rPr>
      <w:rFonts w:ascii="Cambria" w:eastAsia="Calibri" w:hAnsi="Cambria" w:cs="Times New Roman"/>
      <w:b/>
      <w:bCs/>
      <w:sz w:val="24"/>
      <w:szCs w:val="24"/>
    </w:rPr>
  </w:style>
  <w:style w:type="character" w:customStyle="1" w:styleId="CambriaboldChar">
    <w:name w:val="Cambria bold Char"/>
    <w:link w:val="Cambriabold"/>
    <w:rsid w:val="00A30154"/>
    <w:rPr>
      <w:rFonts w:ascii="Cambria" w:eastAsia="Calibri" w:hAnsi="Cambria" w:cs="Times New Roman"/>
      <w:b/>
      <w:bCs/>
      <w:sz w:val="24"/>
      <w:szCs w:val="24"/>
    </w:rPr>
  </w:style>
  <w:style w:type="paragraph" w:customStyle="1" w:styleId="paragraph">
    <w:name w:val="paragraph"/>
    <w:basedOn w:val="Normal"/>
    <w:rsid w:val="0018052B"/>
    <w:pPr>
      <w:spacing w:after="0" w:line="240" w:lineRule="auto"/>
    </w:pPr>
    <w:rPr>
      <w:rFonts w:ascii="Times New Roman" w:eastAsia="Times New Roman" w:hAnsi="Times New Roman" w:cs="Times New Roman"/>
      <w:sz w:val="24"/>
      <w:szCs w:val="24"/>
    </w:rPr>
  </w:style>
  <w:style w:type="character" w:customStyle="1" w:styleId="normaltextrun">
    <w:name w:val="normaltextrun"/>
    <w:rsid w:val="0018052B"/>
  </w:style>
  <w:style w:type="paragraph" w:styleId="NoSpacing">
    <w:name w:val="No Spacing"/>
    <w:link w:val="NoSpacingChar"/>
    <w:uiPriority w:val="1"/>
    <w:qFormat/>
    <w:rsid w:val="0018052B"/>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18052B"/>
    <w:rPr>
      <w:rFonts w:ascii="Calibri" w:eastAsia="Times New Roman" w:hAnsi="Calibri" w:cs="Times New Roman"/>
    </w:rPr>
  </w:style>
  <w:style w:type="paragraph" w:customStyle="1" w:styleId="CambriaNormal">
    <w:name w:val="Cambria Normal"/>
    <w:basedOn w:val="Normal"/>
    <w:link w:val="CambriaNormalChar"/>
    <w:qFormat/>
    <w:rsid w:val="00CF78FD"/>
    <w:pPr>
      <w:spacing w:before="240"/>
      <w:jc w:val="both"/>
    </w:pPr>
    <w:rPr>
      <w:rFonts w:ascii="Cambria" w:eastAsia="Calibri" w:hAnsi="Cambria" w:cs="Times New Roman"/>
      <w:sz w:val="24"/>
      <w:szCs w:val="24"/>
    </w:rPr>
  </w:style>
  <w:style w:type="character" w:customStyle="1" w:styleId="CambriaNormalChar">
    <w:name w:val="Cambria Normal Char"/>
    <w:link w:val="CambriaNormal"/>
    <w:rsid w:val="00CF78FD"/>
    <w:rPr>
      <w:rFonts w:ascii="Cambria" w:eastAsia="Calibri" w:hAnsi="Cambria" w:cs="Times New Roman"/>
      <w:sz w:val="24"/>
      <w:szCs w:val="24"/>
    </w:rPr>
  </w:style>
  <w:style w:type="paragraph" w:customStyle="1" w:styleId="MediumGrid21">
    <w:name w:val="Medium Grid 21"/>
    <w:uiPriority w:val="1"/>
    <w:qFormat/>
    <w:rsid w:val="00161A0F"/>
    <w:pPr>
      <w:spacing w:after="0" w:line="240" w:lineRule="auto"/>
    </w:pPr>
    <w:rPr>
      <w:rFonts w:ascii="Calibri" w:eastAsia="Calibri" w:hAnsi="Calibri" w:cs="Times New Roman"/>
    </w:rPr>
  </w:style>
  <w:style w:type="character" w:styleId="FollowedHyperlink">
    <w:name w:val="FollowedHyperlink"/>
    <w:basedOn w:val="DefaultParagraphFont"/>
    <w:uiPriority w:val="99"/>
    <w:semiHidden/>
    <w:unhideWhenUsed/>
    <w:rsid w:val="00C60087"/>
    <w:rPr>
      <w:color w:val="3EBBF0" w:themeColor="followedHyperlink"/>
      <w:u w:val="single"/>
    </w:rPr>
  </w:style>
  <w:style w:type="paragraph" w:styleId="BodyText3">
    <w:name w:val="Body Text 3"/>
    <w:basedOn w:val="Normal"/>
    <w:link w:val="BodyText3Char"/>
    <w:semiHidden/>
    <w:rsid w:val="00C60087"/>
    <w:pPr>
      <w:spacing w:after="0" w:line="240" w:lineRule="auto"/>
      <w:jc w:val="both"/>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semiHidden/>
    <w:rsid w:val="00C60087"/>
    <w:rPr>
      <w:rFonts w:ascii="Times New Roman" w:eastAsia="Times New Roman" w:hAnsi="Times New Roman" w:cs="Times New Roman"/>
      <w:sz w:val="24"/>
      <w:szCs w:val="24"/>
    </w:rPr>
  </w:style>
  <w:style w:type="paragraph" w:customStyle="1" w:styleId="CV16Normal">
    <w:name w:val="CV16Normal"/>
    <w:rsid w:val="00C60087"/>
    <w:pPr>
      <w:spacing w:after="0" w:line="240" w:lineRule="auto"/>
    </w:pPr>
    <w:rPr>
      <w:rFonts w:ascii="Times New Roman" w:eastAsia="Calibri" w:hAnsi="Times New Roman" w:cs="Times New Roman"/>
    </w:rPr>
  </w:style>
  <w:style w:type="paragraph" w:styleId="Revision">
    <w:name w:val="Revision"/>
    <w:hidden/>
    <w:uiPriority w:val="99"/>
    <w:semiHidden/>
    <w:rsid w:val="00C71AF5"/>
    <w:pPr>
      <w:spacing w:after="0" w:line="240" w:lineRule="auto"/>
    </w:pPr>
  </w:style>
  <w:style w:type="character" w:styleId="CommentReference">
    <w:name w:val="annotation reference"/>
    <w:basedOn w:val="DefaultParagraphFont"/>
    <w:uiPriority w:val="99"/>
    <w:semiHidden/>
    <w:unhideWhenUsed/>
    <w:rsid w:val="00C71AF5"/>
    <w:rPr>
      <w:sz w:val="16"/>
      <w:szCs w:val="16"/>
    </w:rPr>
  </w:style>
  <w:style w:type="paragraph" w:styleId="CommentText">
    <w:name w:val="annotation text"/>
    <w:basedOn w:val="Normal"/>
    <w:link w:val="CommentTextChar"/>
    <w:uiPriority w:val="99"/>
    <w:unhideWhenUsed/>
    <w:rsid w:val="00C71AF5"/>
    <w:pPr>
      <w:spacing w:line="240" w:lineRule="auto"/>
    </w:pPr>
    <w:rPr>
      <w:sz w:val="20"/>
      <w:szCs w:val="20"/>
    </w:rPr>
  </w:style>
  <w:style w:type="character" w:customStyle="1" w:styleId="CommentTextChar">
    <w:name w:val="Comment Text Char"/>
    <w:basedOn w:val="DefaultParagraphFont"/>
    <w:link w:val="CommentText"/>
    <w:uiPriority w:val="99"/>
    <w:rsid w:val="00C71AF5"/>
    <w:rPr>
      <w:sz w:val="20"/>
      <w:szCs w:val="20"/>
    </w:rPr>
  </w:style>
  <w:style w:type="paragraph" w:styleId="CommentSubject">
    <w:name w:val="annotation subject"/>
    <w:basedOn w:val="CommentText"/>
    <w:next w:val="CommentText"/>
    <w:link w:val="CommentSubjectChar"/>
    <w:uiPriority w:val="99"/>
    <w:semiHidden/>
    <w:unhideWhenUsed/>
    <w:rsid w:val="00C71AF5"/>
    <w:rPr>
      <w:b/>
      <w:bCs/>
    </w:rPr>
  </w:style>
  <w:style w:type="character" w:customStyle="1" w:styleId="CommentSubjectChar">
    <w:name w:val="Comment Subject Char"/>
    <w:basedOn w:val="CommentTextChar"/>
    <w:link w:val="CommentSubject"/>
    <w:uiPriority w:val="99"/>
    <w:semiHidden/>
    <w:rsid w:val="00C71AF5"/>
    <w:rPr>
      <w:b/>
      <w:bCs/>
      <w:sz w:val="20"/>
      <w:szCs w:val="20"/>
    </w:rPr>
  </w:style>
  <w:style w:type="paragraph" w:customStyle="1" w:styleId="xmsolistparagraph">
    <w:name w:val="x_msolistparagraph"/>
    <w:basedOn w:val="Normal"/>
    <w:rsid w:val="006162DA"/>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0A3057"/>
    <w:rPr>
      <w:color w:val="605E5C"/>
      <w:shd w:val="clear" w:color="auto" w:fill="E1DFDD"/>
    </w:rPr>
  </w:style>
  <w:style w:type="character" w:styleId="Mention">
    <w:name w:val="Mention"/>
    <w:basedOn w:val="DefaultParagraphFont"/>
    <w:uiPriority w:val="99"/>
    <w:unhideWhenUsed/>
    <w:rsid w:val="00D02062"/>
    <w:rPr>
      <w:color w:val="2B579A"/>
      <w:shd w:val="clear" w:color="auto" w:fill="E1DFDD"/>
    </w:rPr>
  </w:style>
  <w:style w:type="paragraph" w:customStyle="1" w:styleId="CV5ParagraphStyle0">
    <w:name w:val="CV5ParagraphStyle0"/>
    <w:hidden/>
    <w:rsid w:val="00F53192"/>
    <w:pPr>
      <w:spacing w:after="0" w:line="240" w:lineRule="auto"/>
      <w:ind w:left="28" w:right="28"/>
      <w:jc w:val="center"/>
    </w:pPr>
    <w:rPr>
      <w:rFonts w:ascii="Times New Roman" w:hAnsi="Times New Roman" w:cs="Times New Roman"/>
    </w:rPr>
  </w:style>
  <w:style w:type="paragraph" w:customStyle="1" w:styleId="CV5ParagraphStyle1">
    <w:name w:val="CV5ParagraphStyle1"/>
    <w:hidden/>
    <w:rsid w:val="00F53192"/>
    <w:pPr>
      <w:spacing w:after="0" w:line="240" w:lineRule="auto"/>
      <w:ind w:left="28" w:right="28"/>
    </w:pPr>
    <w:rPr>
      <w:rFonts w:ascii="Times New Roman" w:hAnsi="Times New Roman" w:cs="Times New Roman"/>
    </w:rPr>
  </w:style>
  <w:style w:type="paragraph" w:customStyle="1" w:styleId="CV5ParagraphStyle2">
    <w:name w:val="CV5ParagraphStyle2"/>
    <w:hidden/>
    <w:rsid w:val="00F53192"/>
    <w:pPr>
      <w:spacing w:after="0" w:line="240" w:lineRule="auto"/>
      <w:ind w:left="28" w:right="28"/>
      <w:jc w:val="right"/>
    </w:pPr>
    <w:rPr>
      <w:rFonts w:ascii="Times New Roman" w:hAnsi="Times New Roman" w:cs="Times New Roman"/>
    </w:rPr>
  </w:style>
  <w:style w:type="paragraph" w:customStyle="1" w:styleId="CV5ParagraphStyle3">
    <w:name w:val="CV5ParagraphStyle3"/>
    <w:hidden/>
    <w:rsid w:val="00F53192"/>
    <w:pPr>
      <w:spacing w:after="0" w:line="240" w:lineRule="auto"/>
    </w:pPr>
    <w:rPr>
      <w:rFonts w:ascii="Times New Roman" w:hAnsi="Times New Roman" w:cs="Times New Roman"/>
    </w:rPr>
  </w:style>
  <w:style w:type="paragraph" w:customStyle="1" w:styleId="CV5ParagraphStyle4">
    <w:name w:val="CV5ParagraphStyle4"/>
    <w:hidden/>
    <w:rsid w:val="00F53192"/>
    <w:pPr>
      <w:spacing w:after="0" w:line="240" w:lineRule="auto"/>
      <w:ind w:left="28" w:right="28"/>
    </w:pPr>
    <w:rPr>
      <w:rFonts w:ascii="Times New Roman" w:hAnsi="Times New Roman" w:cs="Times New Roman"/>
    </w:rPr>
  </w:style>
  <w:style w:type="paragraph" w:customStyle="1" w:styleId="CV5ParagraphStyle5">
    <w:name w:val="CV5ParagraphStyle5"/>
    <w:hidden/>
    <w:rsid w:val="00F53192"/>
    <w:pPr>
      <w:spacing w:after="0" w:line="240" w:lineRule="auto"/>
      <w:ind w:left="28" w:right="28"/>
      <w:jc w:val="right"/>
    </w:pPr>
    <w:rPr>
      <w:rFonts w:ascii="Times New Roman" w:hAnsi="Times New Roman" w:cs="Times New Roman"/>
    </w:rPr>
  </w:style>
  <w:style w:type="paragraph" w:customStyle="1" w:styleId="CV5ParagraphStyle6">
    <w:name w:val="CV5ParagraphStyle6"/>
    <w:hidden/>
    <w:rsid w:val="00F53192"/>
    <w:pPr>
      <w:spacing w:after="0" w:line="240" w:lineRule="auto"/>
      <w:ind w:left="144" w:right="28"/>
    </w:pPr>
    <w:rPr>
      <w:rFonts w:ascii="Times New Roman" w:hAnsi="Times New Roman" w:cs="Times New Roman"/>
    </w:rPr>
  </w:style>
  <w:style w:type="paragraph" w:customStyle="1" w:styleId="CV5ParagraphStyle7">
    <w:name w:val="CV5ParagraphStyle7"/>
    <w:hidden/>
    <w:rsid w:val="00F53192"/>
    <w:pPr>
      <w:spacing w:after="0" w:line="240" w:lineRule="auto"/>
      <w:ind w:left="259" w:right="28"/>
    </w:pPr>
    <w:rPr>
      <w:rFonts w:ascii="Times New Roman" w:hAnsi="Times New Roman" w:cs="Times New Roman"/>
    </w:rPr>
  </w:style>
  <w:style w:type="paragraph" w:customStyle="1" w:styleId="CV5ParagraphStyle8">
    <w:name w:val="CV5ParagraphStyle8"/>
    <w:hidden/>
    <w:rsid w:val="00F53192"/>
    <w:pPr>
      <w:spacing w:after="0" w:line="240" w:lineRule="auto"/>
      <w:ind w:left="28" w:right="28"/>
      <w:jc w:val="right"/>
    </w:pPr>
    <w:rPr>
      <w:rFonts w:ascii="Times New Roman" w:hAnsi="Times New Roman" w:cs="Times New Roman"/>
    </w:rPr>
  </w:style>
  <w:style w:type="paragraph" w:customStyle="1" w:styleId="CV5ParagraphStyle9">
    <w:name w:val="CV5ParagraphStyle9"/>
    <w:hidden/>
    <w:rsid w:val="00F53192"/>
    <w:pPr>
      <w:spacing w:after="0" w:line="240" w:lineRule="auto"/>
      <w:ind w:left="28" w:right="28"/>
    </w:pPr>
    <w:rPr>
      <w:rFonts w:ascii="Times New Roman" w:hAnsi="Times New Roman" w:cs="Times New Roman"/>
    </w:rPr>
  </w:style>
  <w:style w:type="paragraph" w:customStyle="1" w:styleId="CV5ParagraphStyle10">
    <w:name w:val="CV5ParagraphStyle10"/>
    <w:hidden/>
    <w:rsid w:val="00F53192"/>
    <w:pPr>
      <w:spacing w:after="0" w:line="240" w:lineRule="auto"/>
      <w:ind w:left="28" w:right="28"/>
      <w:jc w:val="right"/>
    </w:pPr>
    <w:rPr>
      <w:rFonts w:ascii="Times New Roman" w:hAnsi="Times New Roman" w:cs="Times New Roman"/>
    </w:rPr>
  </w:style>
  <w:style w:type="character" w:customStyle="1" w:styleId="CV5FakeCharacterStyle">
    <w:name w:val="CV5FakeCharacterStyle"/>
    <w:hidden/>
    <w:rsid w:val="00F53192"/>
    <w:rPr>
      <w:sz w:val="1"/>
      <w:szCs w:val="1"/>
    </w:rPr>
  </w:style>
  <w:style w:type="character" w:customStyle="1" w:styleId="CV5CharacterStyle0">
    <w:name w:val="CV5CharacterStyle0"/>
    <w:hidden/>
    <w:rsid w:val="00F53192"/>
    <w:rPr>
      <w:rFonts w:ascii="Times New Roman" w:eastAsia="Times New Roman" w:hAnsi="Times New Roman" w:cs="Times New Roman"/>
      <w:b/>
      <w:i w:val="0"/>
      <w:strike w:val="0"/>
      <w:noProof/>
      <w:color w:val="FFFFFF"/>
      <w:sz w:val="12"/>
      <w:szCs w:val="12"/>
      <w:u w:val="none"/>
    </w:rPr>
  </w:style>
  <w:style w:type="character" w:customStyle="1" w:styleId="CV5CharacterStyle1">
    <w:name w:val="CV5CharacterStyle1"/>
    <w:hidden/>
    <w:rsid w:val="00F53192"/>
    <w:rPr>
      <w:rFonts w:ascii="Times New Roman" w:eastAsia="Times New Roman" w:hAnsi="Times New Roman" w:cs="Times New Roman"/>
      <w:b w:val="0"/>
      <w:i w:val="0"/>
      <w:strike w:val="0"/>
      <w:noProof/>
      <w:color w:val="F5F5F5"/>
      <w:sz w:val="20"/>
      <w:szCs w:val="20"/>
      <w:u w:val="none"/>
    </w:rPr>
  </w:style>
  <w:style w:type="character" w:customStyle="1" w:styleId="CV5CharacterStyle2">
    <w:name w:val="CV5CharacterStyle2"/>
    <w:hidden/>
    <w:rsid w:val="00F53192"/>
    <w:rPr>
      <w:rFonts w:ascii="Times New Roman" w:eastAsia="Times New Roman" w:hAnsi="Times New Roman" w:cs="Times New Roman"/>
      <w:b/>
      <w:i w:val="0"/>
      <w:strike w:val="0"/>
      <w:noProof/>
      <w:color w:val="000000"/>
      <w:sz w:val="20"/>
      <w:szCs w:val="20"/>
      <w:u w:val="none"/>
    </w:rPr>
  </w:style>
  <w:style w:type="character" w:customStyle="1" w:styleId="CV5CharacterStyle3">
    <w:name w:val="CV5CharacterStyle3"/>
    <w:hidden/>
    <w:rsid w:val="00F53192"/>
    <w:rPr>
      <w:rFonts w:ascii="Times New Roman" w:eastAsia="Times New Roman" w:hAnsi="Times New Roman" w:cs="Times New Roman"/>
      <w:b/>
      <w:i w:val="0"/>
      <w:strike w:val="0"/>
      <w:noProof/>
      <w:color w:val="000000"/>
      <w:sz w:val="20"/>
      <w:szCs w:val="20"/>
      <w:u w:val="none"/>
    </w:rPr>
  </w:style>
  <w:style w:type="character" w:customStyle="1" w:styleId="CV5CharacterStyle4">
    <w:name w:val="CV5CharacterStyle4"/>
    <w:hidden/>
    <w:rsid w:val="00F53192"/>
    <w:rPr>
      <w:rFonts w:ascii="Times New Roman" w:eastAsia="Times New Roman" w:hAnsi="Times New Roman" w:cs="Times New Roman"/>
      <w:b w:val="0"/>
      <w:i w:val="0"/>
      <w:strike w:val="0"/>
      <w:noProof/>
      <w:color w:val="FFFFFF"/>
      <w:sz w:val="20"/>
      <w:szCs w:val="20"/>
      <w:u w:val="none"/>
    </w:rPr>
  </w:style>
  <w:style w:type="character" w:customStyle="1" w:styleId="CV5CharacterStyle5">
    <w:name w:val="CV5CharacterStyle5"/>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5CharacterStyle6">
    <w:name w:val="CV5CharacterStyle6"/>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5CharacterStyle7">
    <w:name w:val="CV5CharacterStyle7"/>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5CharacterStyle8">
    <w:name w:val="CV5CharacterStyle8"/>
    <w:hidden/>
    <w:rsid w:val="00F53192"/>
    <w:rPr>
      <w:rFonts w:ascii="Times New Roman" w:eastAsia="Times New Roman" w:hAnsi="Times New Roman" w:cs="Times New Roman"/>
      <w:b/>
      <w:i w:val="0"/>
      <w:strike w:val="0"/>
      <w:noProof/>
      <w:color w:val="000000"/>
      <w:sz w:val="20"/>
      <w:szCs w:val="20"/>
      <w:u w:val="none"/>
    </w:rPr>
  </w:style>
  <w:style w:type="character" w:customStyle="1" w:styleId="CV5CharacterStyle9">
    <w:name w:val="CV5CharacterStyle9"/>
    <w:hidden/>
    <w:rsid w:val="00F53192"/>
    <w:rPr>
      <w:rFonts w:ascii="Times New Roman" w:eastAsia="Times New Roman" w:hAnsi="Times New Roman" w:cs="Times New Roman"/>
      <w:b/>
      <w:i w:val="0"/>
      <w:strike w:val="0"/>
      <w:noProof/>
      <w:color w:val="000000"/>
      <w:sz w:val="20"/>
      <w:szCs w:val="20"/>
      <w:u w:val="none"/>
    </w:rPr>
  </w:style>
  <w:style w:type="table" w:customStyle="1" w:styleId="CV16NormalTable">
    <w:name w:val="CV16Normal Table"/>
    <w:rsid w:val="00F53192"/>
    <w:pPr>
      <w:spacing w:after="0" w:line="240" w:lineRule="auto"/>
    </w:pPr>
    <w:rPr>
      <w:rFonts w:ascii="Times New Roman" w:hAnsi="Times New Roman" w:cs="Times New Roman"/>
    </w:rPr>
    <w:tblPr>
      <w:tblCellMar>
        <w:top w:w="0" w:type="dxa"/>
        <w:left w:w="108" w:type="dxa"/>
        <w:bottom w:w="0" w:type="dxa"/>
        <w:right w:w="108" w:type="dxa"/>
      </w:tblCellMar>
    </w:tblPr>
  </w:style>
  <w:style w:type="paragraph" w:customStyle="1" w:styleId="CV7ParagraphStyle1">
    <w:name w:val="CV7ParagraphStyle1"/>
    <w:hidden/>
    <w:rsid w:val="00F53192"/>
    <w:pPr>
      <w:spacing w:after="0" w:line="240" w:lineRule="auto"/>
      <w:ind w:left="28" w:right="28"/>
    </w:pPr>
    <w:rPr>
      <w:rFonts w:ascii="Times New Roman" w:hAnsi="Times New Roman" w:cs="Times New Roman"/>
    </w:rPr>
  </w:style>
  <w:style w:type="paragraph" w:customStyle="1" w:styleId="CV7ParagraphStyle2">
    <w:name w:val="CV7ParagraphStyle2"/>
    <w:hidden/>
    <w:rsid w:val="00F53192"/>
    <w:pPr>
      <w:spacing w:after="0" w:line="240" w:lineRule="auto"/>
      <w:ind w:left="28" w:right="28"/>
      <w:jc w:val="center"/>
    </w:pPr>
    <w:rPr>
      <w:rFonts w:ascii="Times New Roman" w:hAnsi="Times New Roman" w:cs="Times New Roman"/>
    </w:rPr>
  </w:style>
  <w:style w:type="paragraph" w:customStyle="1" w:styleId="CV7ParagraphStyle3">
    <w:name w:val="CV7ParagraphStyle3"/>
    <w:hidden/>
    <w:rsid w:val="00F53192"/>
    <w:pPr>
      <w:spacing w:after="0" w:line="240" w:lineRule="auto"/>
    </w:pPr>
    <w:rPr>
      <w:rFonts w:ascii="Times New Roman" w:hAnsi="Times New Roman" w:cs="Times New Roman"/>
    </w:rPr>
  </w:style>
  <w:style w:type="paragraph" w:customStyle="1" w:styleId="CV7ParagraphStyle4">
    <w:name w:val="CV7ParagraphStyle4"/>
    <w:hidden/>
    <w:rsid w:val="00F53192"/>
    <w:pPr>
      <w:spacing w:after="0" w:line="240" w:lineRule="auto"/>
      <w:ind w:left="28" w:right="28"/>
    </w:pPr>
    <w:rPr>
      <w:rFonts w:ascii="Times New Roman" w:hAnsi="Times New Roman" w:cs="Times New Roman"/>
    </w:rPr>
  </w:style>
  <w:style w:type="paragraph" w:customStyle="1" w:styleId="CV7ParagraphStyle5">
    <w:name w:val="CV7ParagraphStyle5"/>
    <w:hidden/>
    <w:rsid w:val="00F53192"/>
    <w:pPr>
      <w:spacing w:after="0" w:line="240" w:lineRule="auto"/>
      <w:ind w:left="28" w:right="28"/>
      <w:jc w:val="right"/>
    </w:pPr>
    <w:rPr>
      <w:rFonts w:ascii="Times New Roman" w:hAnsi="Times New Roman" w:cs="Times New Roman"/>
    </w:rPr>
  </w:style>
  <w:style w:type="paragraph" w:customStyle="1" w:styleId="CV7ParagraphStyle6">
    <w:name w:val="CV7ParagraphStyle6"/>
    <w:hidden/>
    <w:rsid w:val="00F53192"/>
    <w:pPr>
      <w:spacing w:after="0" w:line="240" w:lineRule="auto"/>
      <w:ind w:left="28" w:right="28"/>
    </w:pPr>
    <w:rPr>
      <w:rFonts w:ascii="Times New Roman" w:hAnsi="Times New Roman" w:cs="Times New Roman"/>
    </w:rPr>
  </w:style>
  <w:style w:type="paragraph" w:customStyle="1" w:styleId="CV7ParagraphStyle7">
    <w:name w:val="CV7ParagraphStyle7"/>
    <w:hidden/>
    <w:rsid w:val="00F53192"/>
    <w:pPr>
      <w:spacing w:after="0" w:line="240" w:lineRule="auto"/>
      <w:ind w:left="28" w:right="28"/>
      <w:jc w:val="right"/>
    </w:pPr>
    <w:rPr>
      <w:rFonts w:ascii="Times New Roman" w:hAnsi="Times New Roman" w:cs="Times New Roman"/>
    </w:rPr>
  </w:style>
  <w:style w:type="paragraph" w:customStyle="1" w:styleId="CV7ParagraphStyle8">
    <w:name w:val="CV7ParagraphStyle8"/>
    <w:hidden/>
    <w:rsid w:val="00F53192"/>
    <w:pPr>
      <w:spacing w:after="0" w:line="240" w:lineRule="auto"/>
      <w:ind w:left="28" w:right="28"/>
    </w:pPr>
    <w:rPr>
      <w:rFonts w:ascii="Times New Roman" w:hAnsi="Times New Roman" w:cs="Times New Roman"/>
    </w:rPr>
  </w:style>
  <w:style w:type="paragraph" w:customStyle="1" w:styleId="CV7ParagraphStyle9">
    <w:name w:val="CV7ParagraphStyle9"/>
    <w:hidden/>
    <w:rsid w:val="00F53192"/>
    <w:pPr>
      <w:spacing w:after="0" w:line="240" w:lineRule="auto"/>
      <w:ind w:left="28" w:right="28"/>
      <w:jc w:val="right"/>
    </w:pPr>
    <w:rPr>
      <w:rFonts w:ascii="Times New Roman" w:hAnsi="Times New Roman" w:cs="Times New Roman"/>
    </w:rPr>
  </w:style>
  <w:style w:type="paragraph" w:customStyle="1" w:styleId="CV7ParagraphStyle10">
    <w:name w:val="CV7ParagraphStyle10"/>
    <w:hidden/>
    <w:rsid w:val="00F53192"/>
    <w:pPr>
      <w:spacing w:after="0" w:line="240" w:lineRule="auto"/>
    </w:pPr>
    <w:rPr>
      <w:rFonts w:ascii="Times New Roman" w:hAnsi="Times New Roman" w:cs="Times New Roman"/>
    </w:rPr>
  </w:style>
  <w:style w:type="paragraph" w:customStyle="1" w:styleId="CV7ParagraphStyle11">
    <w:name w:val="CV7ParagraphStyle11"/>
    <w:hidden/>
    <w:rsid w:val="00F53192"/>
    <w:pPr>
      <w:spacing w:after="0" w:line="240" w:lineRule="auto"/>
      <w:ind w:left="28" w:right="28"/>
    </w:pPr>
    <w:rPr>
      <w:rFonts w:ascii="Times New Roman" w:hAnsi="Times New Roman" w:cs="Times New Roman"/>
    </w:rPr>
  </w:style>
  <w:style w:type="paragraph" w:customStyle="1" w:styleId="CV7ParagraphStyle12">
    <w:name w:val="CV7ParagraphStyle12"/>
    <w:hidden/>
    <w:rsid w:val="00F53192"/>
    <w:pPr>
      <w:spacing w:after="0" w:line="240" w:lineRule="auto"/>
      <w:ind w:left="28" w:right="28"/>
      <w:jc w:val="right"/>
    </w:pPr>
    <w:rPr>
      <w:rFonts w:ascii="Times New Roman" w:hAnsi="Times New Roman" w:cs="Times New Roman"/>
    </w:rPr>
  </w:style>
  <w:style w:type="character" w:customStyle="1" w:styleId="CV7FakeCharacterStyle">
    <w:name w:val="CV7FakeCharacterStyle"/>
    <w:hidden/>
    <w:rsid w:val="00F53192"/>
    <w:rPr>
      <w:sz w:val="1"/>
      <w:szCs w:val="1"/>
    </w:rPr>
  </w:style>
  <w:style w:type="character" w:customStyle="1" w:styleId="CV7CharacterStyle1">
    <w:name w:val="CV7CharacterStyle1"/>
    <w:hidden/>
    <w:rsid w:val="00F53192"/>
    <w:rPr>
      <w:rFonts w:ascii="Times New Roman" w:eastAsia="Times New Roman" w:hAnsi="Times New Roman" w:cs="Times New Roman"/>
      <w:b w:val="0"/>
      <w:i w:val="0"/>
      <w:strike w:val="0"/>
      <w:noProof/>
      <w:color w:val="F5F5F5"/>
      <w:sz w:val="20"/>
      <w:szCs w:val="20"/>
      <w:u w:val="none"/>
    </w:rPr>
  </w:style>
  <w:style w:type="character" w:customStyle="1" w:styleId="CV7CharacterStyle2">
    <w:name w:val="CV7CharacterStyle2"/>
    <w:hidden/>
    <w:rsid w:val="00F53192"/>
    <w:rPr>
      <w:rFonts w:ascii="Times New Roman" w:eastAsia="Times New Roman" w:hAnsi="Times New Roman" w:cs="Times New Roman"/>
      <w:b/>
      <w:i w:val="0"/>
      <w:strike w:val="0"/>
      <w:noProof/>
      <w:color w:val="000000"/>
      <w:sz w:val="20"/>
      <w:szCs w:val="20"/>
      <w:u w:val="none"/>
    </w:rPr>
  </w:style>
  <w:style w:type="character" w:customStyle="1" w:styleId="CV7CharacterStyle3">
    <w:name w:val="CV7CharacterStyle3"/>
    <w:hidden/>
    <w:rsid w:val="00F53192"/>
    <w:rPr>
      <w:rFonts w:ascii="Times New Roman" w:eastAsia="Times New Roman" w:hAnsi="Times New Roman" w:cs="Times New Roman"/>
      <w:b/>
      <w:i w:val="0"/>
      <w:strike w:val="0"/>
      <w:noProof/>
      <w:color w:val="000000"/>
      <w:sz w:val="20"/>
      <w:szCs w:val="20"/>
      <w:u w:val="none"/>
    </w:rPr>
  </w:style>
  <w:style w:type="character" w:customStyle="1" w:styleId="CV7CharacterStyle4">
    <w:name w:val="CV7CharacterStyle4"/>
    <w:hidden/>
    <w:rsid w:val="00F53192"/>
    <w:rPr>
      <w:rFonts w:ascii="Times New Roman" w:eastAsia="Times New Roman" w:hAnsi="Times New Roman" w:cs="Times New Roman"/>
      <w:b w:val="0"/>
      <w:i w:val="0"/>
      <w:strike w:val="0"/>
      <w:noProof/>
      <w:color w:val="FFFFFF"/>
      <w:sz w:val="20"/>
      <w:szCs w:val="20"/>
      <w:u w:val="none"/>
    </w:rPr>
  </w:style>
  <w:style w:type="character" w:customStyle="1" w:styleId="CV7CharacterStyle5">
    <w:name w:val="CV7CharacterStyle5"/>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7CharacterStyle6">
    <w:name w:val="CV7CharacterStyle6"/>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7CharacterStyle7">
    <w:name w:val="CV7CharacterStyle7"/>
    <w:hidden/>
    <w:rsid w:val="00F53192"/>
    <w:rPr>
      <w:rFonts w:ascii="Times New Roman" w:eastAsia="Times New Roman" w:hAnsi="Times New Roman" w:cs="Times New Roman"/>
      <w:b/>
      <w:i w:val="0"/>
      <w:strike w:val="0"/>
      <w:noProof/>
      <w:color w:val="000000"/>
      <w:sz w:val="20"/>
      <w:szCs w:val="20"/>
      <w:u w:val="none"/>
    </w:rPr>
  </w:style>
  <w:style w:type="character" w:customStyle="1" w:styleId="CV7CharacterStyle8">
    <w:name w:val="CV7CharacterStyle8"/>
    <w:hidden/>
    <w:rsid w:val="00F53192"/>
    <w:rPr>
      <w:rFonts w:ascii="Times New Roman" w:eastAsia="Times New Roman" w:hAnsi="Times New Roman" w:cs="Times New Roman"/>
      <w:b/>
      <w:i w:val="0"/>
      <w:strike w:val="0"/>
      <w:noProof/>
      <w:color w:val="000000"/>
      <w:sz w:val="20"/>
      <w:szCs w:val="20"/>
      <w:u w:val="none"/>
    </w:rPr>
  </w:style>
  <w:style w:type="character" w:customStyle="1" w:styleId="CV7CharacterStyle9">
    <w:name w:val="CV7CharacterStyle9"/>
    <w:hidden/>
    <w:rsid w:val="00F53192"/>
    <w:rPr>
      <w:rFonts w:ascii="Times New Roman" w:eastAsia="Times New Roman" w:hAnsi="Times New Roman" w:cs="Times New Roman"/>
      <w:b w:val="0"/>
      <w:i w:val="0"/>
      <w:strike w:val="0"/>
      <w:noProof/>
      <w:color w:val="FFFFFF"/>
      <w:sz w:val="10"/>
      <w:szCs w:val="10"/>
      <w:u w:val="none"/>
    </w:rPr>
  </w:style>
  <w:style w:type="character" w:customStyle="1" w:styleId="CV7CharacterStyle10">
    <w:name w:val="CV7CharacterStyle10"/>
    <w:hidden/>
    <w:rsid w:val="00F53192"/>
    <w:rPr>
      <w:rFonts w:ascii="Times New Roman" w:eastAsia="Times New Roman" w:hAnsi="Times New Roman" w:cs="Times New Roman"/>
      <w:b w:val="0"/>
      <w:i w:val="0"/>
      <w:strike w:val="0"/>
      <w:noProof/>
      <w:color w:val="FFFFFF"/>
      <w:sz w:val="10"/>
      <w:szCs w:val="10"/>
      <w:u w:val="none"/>
    </w:rPr>
  </w:style>
  <w:style w:type="paragraph" w:customStyle="1" w:styleId="CV8ParagraphStyle2">
    <w:name w:val="CV8ParagraphStyle2"/>
    <w:hidden/>
    <w:rsid w:val="00F53192"/>
    <w:pPr>
      <w:spacing w:after="0" w:line="240" w:lineRule="auto"/>
      <w:ind w:left="28" w:right="28"/>
      <w:jc w:val="right"/>
    </w:pPr>
    <w:rPr>
      <w:rFonts w:ascii="Times New Roman" w:hAnsi="Times New Roman" w:cs="Times New Roman"/>
    </w:rPr>
  </w:style>
  <w:style w:type="paragraph" w:customStyle="1" w:styleId="CV8ParagraphStyle3">
    <w:name w:val="CV8ParagraphStyle3"/>
    <w:hidden/>
    <w:rsid w:val="00F53192"/>
    <w:pPr>
      <w:spacing w:after="0" w:line="240" w:lineRule="auto"/>
    </w:pPr>
    <w:rPr>
      <w:rFonts w:ascii="Times New Roman" w:hAnsi="Times New Roman" w:cs="Times New Roman"/>
    </w:rPr>
  </w:style>
  <w:style w:type="paragraph" w:customStyle="1" w:styleId="CV8ParagraphStyle4">
    <w:name w:val="CV8ParagraphStyle4"/>
    <w:hidden/>
    <w:rsid w:val="00F53192"/>
    <w:pPr>
      <w:spacing w:after="0" w:line="240" w:lineRule="auto"/>
      <w:ind w:left="28" w:right="28"/>
    </w:pPr>
    <w:rPr>
      <w:rFonts w:ascii="Times New Roman" w:hAnsi="Times New Roman" w:cs="Times New Roman"/>
    </w:rPr>
  </w:style>
  <w:style w:type="paragraph" w:customStyle="1" w:styleId="CV8ParagraphStyle5">
    <w:name w:val="CV8ParagraphStyle5"/>
    <w:hidden/>
    <w:rsid w:val="00F53192"/>
    <w:pPr>
      <w:spacing w:after="0" w:line="240" w:lineRule="auto"/>
      <w:ind w:left="28" w:right="28"/>
      <w:jc w:val="right"/>
    </w:pPr>
    <w:rPr>
      <w:rFonts w:ascii="Times New Roman" w:hAnsi="Times New Roman" w:cs="Times New Roman"/>
    </w:rPr>
  </w:style>
  <w:style w:type="paragraph" w:customStyle="1" w:styleId="CV8ParagraphStyle6">
    <w:name w:val="CV8ParagraphStyle6"/>
    <w:hidden/>
    <w:rsid w:val="00F53192"/>
    <w:pPr>
      <w:spacing w:after="0" w:line="240" w:lineRule="auto"/>
      <w:ind w:left="144" w:right="28"/>
    </w:pPr>
    <w:rPr>
      <w:rFonts w:ascii="Times New Roman" w:hAnsi="Times New Roman" w:cs="Times New Roman"/>
    </w:rPr>
  </w:style>
  <w:style w:type="paragraph" w:customStyle="1" w:styleId="CV8ParagraphStyle7">
    <w:name w:val="CV8ParagraphStyle7"/>
    <w:hidden/>
    <w:rsid w:val="00F53192"/>
    <w:pPr>
      <w:spacing w:after="0" w:line="240" w:lineRule="auto"/>
      <w:ind w:left="28" w:right="28"/>
      <w:jc w:val="right"/>
    </w:pPr>
    <w:rPr>
      <w:rFonts w:ascii="Times New Roman" w:hAnsi="Times New Roman" w:cs="Times New Roman"/>
    </w:rPr>
  </w:style>
  <w:style w:type="paragraph" w:customStyle="1" w:styleId="CV8ParagraphStyle8">
    <w:name w:val="CV8ParagraphStyle8"/>
    <w:hidden/>
    <w:rsid w:val="00F53192"/>
    <w:pPr>
      <w:spacing w:after="0" w:line="240" w:lineRule="auto"/>
      <w:ind w:left="144" w:right="28"/>
    </w:pPr>
    <w:rPr>
      <w:rFonts w:ascii="Times New Roman" w:hAnsi="Times New Roman" w:cs="Times New Roman"/>
    </w:rPr>
  </w:style>
  <w:style w:type="paragraph" w:customStyle="1" w:styleId="CV8ParagraphStyle9">
    <w:name w:val="CV8ParagraphStyle9"/>
    <w:hidden/>
    <w:rsid w:val="00F53192"/>
    <w:pPr>
      <w:spacing w:after="0" w:line="240" w:lineRule="auto"/>
      <w:ind w:left="28" w:right="28"/>
    </w:pPr>
    <w:rPr>
      <w:rFonts w:ascii="Times New Roman" w:hAnsi="Times New Roman" w:cs="Times New Roman"/>
    </w:rPr>
  </w:style>
  <w:style w:type="paragraph" w:customStyle="1" w:styleId="CV8ParagraphStyle10">
    <w:name w:val="CV8ParagraphStyle10"/>
    <w:hidden/>
    <w:rsid w:val="00F53192"/>
    <w:pPr>
      <w:spacing w:after="0" w:line="240" w:lineRule="auto"/>
      <w:ind w:left="28" w:right="28"/>
      <w:jc w:val="right"/>
    </w:pPr>
    <w:rPr>
      <w:rFonts w:ascii="Times New Roman" w:hAnsi="Times New Roman" w:cs="Times New Roman"/>
    </w:rPr>
  </w:style>
  <w:style w:type="character" w:customStyle="1" w:styleId="CV8FakeCharacterStyle">
    <w:name w:val="CV8FakeCharacterStyle"/>
    <w:hidden/>
    <w:rsid w:val="00F53192"/>
    <w:rPr>
      <w:sz w:val="1"/>
      <w:szCs w:val="1"/>
    </w:rPr>
  </w:style>
  <w:style w:type="character" w:customStyle="1" w:styleId="CV8CharacterStyle2">
    <w:name w:val="CV8CharacterStyle2"/>
    <w:hidden/>
    <w:rsid w:val="00F53192"/>
    <w:rPr>
      <w:rFonts w:ascii="Times New Roman" w:eastAsia="Times New Roman" w:hAnsi="Times New Roman" w:cs="Times New Roman"/>
      <w:b/>
      <w:i w:val="0"/>
      <w:strike w:val="0"/>
      <w:noProof/>
      <w:color w:val="000000"/>
      <w:sz w:val="20"/>
      <w:szCs w:val="20"/>
      <w:u w:val="none"/>
    </w:rPr>
  </w:style>
  <w:style w:type="character" w:customStyle="1" w:styleId="CV8CharacterStyle3">
    <w:name w:val="CV8CharacterStyle3"/>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8CharacterStyle4">
    <w:name w:val="CV8CharacterStyle4"/>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8CharacterStyle5">
    <w:name w:val="CV8CharacterStyle5"/>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8CharacterStyle6">
    <w:name w:val="CV8CharacterStyle6"/>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8CharacterStyle7">
    <w:name w:val="CV8CharacterStyle7"/>
    <w:hidden/>
    <w:rsid w:val="00F53192"/>
    <w:rPr>
      <w:rFonts w:ascii="Times New Roman" w:eastAsia="Times New Roman" w:hAnsi="Times New Roman" w:cs="Times New Roman"/>
      <w:b w:val="0"/>
      <w:i w:val="0"/>
      <w:strike w:val="0"/>
      <w:noProof/>
      <w:color w:val="000000"/>
      <w:sz w:val="20"/>
      <w:szCs w:val="20"/>
      <w:u w:val="none"/>
    </w:rPr>
  </w:style>
  <w:style w:type="character" w:customStyle="1" w:styleId="CV8CharacterStyle8">
    <w:name w:val="CV8CharacterStyle8"/>
    <w:hidden/>
    <w:rsid w:val="00F53192"/>
    <w:rPr>
      <w:rFonts w:ascii="Times New Roman" w:eastAsia="Times New Roman" w:hAnsi="Times New Roman" w:cs="Times New Roman"/>
      <w:b/>
      <w:i w:val="0"/>
      <w:strike w:val="0"/>
      <w:noProof/>
      <w:color w:val="000000"/>
      <w:sz w:val="20"/>
      <w:szCs w:val="20"/>
      <w:u w:val="none"/>
    </w:rPr>
  </w:style>
  <w:style w:type="character" w:customStyle="1" w:styleId="CV8CharacterStyle9">
    <w:name w:val="CV8CharacterStyle9"/>
    <w:hidden/>
    <w:rsid w:val="00F53192"/>
    <w:rPr>
      <w:rFonts w:ascii="Times New Roman" w:eastAsia="Times New Roman" w:hAnsi="Times New Roman" w:cs="Times New Roman"/>
      <w:b/>
      <w:i w:val="0"/>
      <w:strike w:val="0"/>
      <w:noProof/>
      <w:color w:val="000000"/>
      <w:sz w:val="20"/>
      <w:szCs w:val="20"/>
      <w:u w:val="none"/>
    </w:rPr>
  </w:style>
  <w:style w:type="paragraph" w:customStyle="1" w:styleId="CV9ParagraphStyle1">
    <w:name w:val="CV9ParagraphStyle1"/>
    <w:hidden/>
    <w:rsid w:val="00130634"/>
    <w:pPr>
      <w:spacing w:after="0" w:line="240" w:lineRule="auto"/>
      <w:ind w:left="28" w:right="28"/>
    </w:pPr>
    <w:rPr>
      <w:rFonts w:ascii="Times New Roman" w:hAnsi="Times New Roman" w:cs="Times New Roman"/>
    </w:rPr>
  </w:style>
  <w:style w:type="paragraph" w:customStyle="1" w:styleId="CV9ParagraphStyle2">
    <w:name w:val="CV9ParagraphStyle2"/>
    <w:hidden/>
    <w:rsid w:val="00130634"/>
    <w:pPr>
      <w:spacing w:after="0" w:line="240" w:lineRule="auto"/>
      <w:ind w:left="28" w:right="28"/>
      <w:jc w:val="center"/>
    </w:pPr>
    <w:rPr>
      <w:rFonts w:ascii="Times New Roman" w:hAnsi="Times New Roman" w:cs="Times New Roman"/>
    </w:rPr>
  </w:style>
  <w:style w:type="paragraph" w:customStyle="1" w:styleId="CV9ParagraphStyle3">
    <w:name w:val="CV9ParagraphStyle3"/>
    <w:hidden/>
    <w:rsid w:val="00130634"/>
    <w:pPr>
      <w:spacing w:after="0" w:line="240" w:lineRule="auto"/>
    </w:pPr>
    <w:rPr>
      <w:rFonts w:ascii="Times New Roman" w:hAnsi="Times New Roman" w:cs="Times New Roman"/>
    </w:rPr>
  </w:style>
  <w:style w:type="paragraph" w:customStyle="1" w:styleId="CV9ParagraphStyle5">
    <w:name w:val="CV9ParagraphStyle5"/>
    <w:hidden/>
    <w:rsid w:val="00130634"/>
    <w:pPr>
      <w:spacing w:after="0" w:line="240" w:lineRule="auto"/>
      <w:ind w:left="28" w:right="28"/>
      <w:jc w:val="right"/>
    </w:pPr>
    <w:rPr>
      <w:rFonts w:ascii="Times New Roman" w:hAnsi="Times New Roman" w:cs="Times New Roman"/>
    </w:rPr>
  </w:style>
  <w:style w:type="paragraph" w:customStyle="1" w:styleId="CV9ParagraphStyle6">
    <w:name w:val="CV9ParagraphStyle6"/>
    <w:hidden/>
    <w:rsid w:val="00130634"/>
    <w:pPr>
      <w:spacing w:after="0" w:line="240" w:lineRule="auto"/>
      <w:ind w:left="28" w:right="28"/>
    </w:pPr>
    <w:rPr>
      <w:rFonts w:ascii="Times New Roman" w:hAnsi="Times New Roman" w:cs="Times New Roman"/>
    </w:rPr>
  </w:style>
  <w:style w:type="paragraph" w:customStyle="1" w:styleId="CV9ParagraphStyle7">
    <w:name w:val="CV9ParagraphStyle7"/>
    <w:hidden/>
    <w:rsid w:val="00130634"/>
    <w:pPr>
      <w:spacing w:after="0" w:line="240" w:lineRule="auto"/>
      <w:ind w:left="144" w:right="28"/>
    </w:pPr>
    <w:rPr>
      <w:rFonts w:ascii="Times New Roman" w:hAnsi="Times New Roman" w:cs="Times New Roman"/>
    </w:rPr>
  </w:style>
  <w:style w:type="paragraph" w:customStyle="1" w:styleId="CV9ParagraphStyle8">
    <w:name w:val="CV9ParagraphStyle8"/>
    <w:hidden/>
    <w:rsid w:val="00130634"/>
    <w:pPr>
      <w:spacing w:before="244" w:after="0" w:line="240" w:lineRule="auto"/>
      <w:ind w:left="28" w:right="28"/>
      <w:jc w:val="right"/>
    </w:pPr>
    <w:rPr>
      <w:rFonts w:ascii="Times New Roman" w:hAnsi="Times New Roman" w:cs="Times New Roman"/>
    </w:rPr>
  </w:style>
  <w:style w:type="paragraph" w:customStyle="1" w:styleId="CV9ParagraphStyle9">
    <w:name w:val="CV9ParagraphStyle9"/>
    <w:hidden/>
    <w:rsid w:val="00130634"/>
    <w:pPr>
      <w:spacing w:after="0" w:line="240" w:lineRule="auto"/>
      <w:ind w:left="28" w:right="28"/>
      <w:jc w:val="right"/>
    </w:pPr>
    <w:rPr>
      <w:rFonts w:ascii="Times New Roman" w:hAnsi="Times New Roman" w:cs="Times New Roman"/>
    </w:rPr>
  </w:style>
  <w:style w:type="paragraph" w:customStyle="1" w:styleId="CV9ParagraphStyle10">
    <w:name w:val="CV9ParagraphStyle10"/>
    <w:hidden/>
    <w:rsid w:val="00130634"/>
    <w:pPr>
      <w:spacing w:after="0" w:line="240" w:lineRule="auto"/>
      <w:ind w:left="28" w:right="28"/>
    </w:pPr>
    <w:rPr>
      <w:rFonts w:ascii="Times New Roman" w:hAnsi="Times New Roman" w:cs="Times New Roman"/>
    </w:rPr>
  </w:style>
  <w:style w:type="paragraph" w:customStyle="1" w:styleId="CV9ParagraphStyle11">
    <w:name w:val="CV9ParagraphStyle11"/>
    <w:hidden/>
    <w:rsid w:val="00130634"/>
    <w:pPr>
      <w:spacing w:after="0" w:line="240" w:lineRule="auto"/>
      <w:ind w:left="28" w:right="28"/>
      <w:jc w:val="right"/>
    </w:pPr>
    <w:rPr>
      <w:rFonts w:ascii="Times New Roman" w:hAnsi="Times New Roman" w:cs="Times New Roman"/>
    </w:rPr>
  </w:style>
  <w:style w:type="paragraph" w:customStyle="1" w:styleId="CV9ParagraphStyle12">
    <w:name w:val="CV9ParagraphStyle12"/>
    <w:hidden/>
    <w:rsid w:val="00130634"/>
    <w:pPr>
      <w:spacing w:after="0" w:line="240" w:lineRule="auto"/>
    </w:pPr>
    <w:rPr>
      <w:rFonts w:ascii="Times New Roman" w:hAnsi="Times New Roman" w:cs="Times New Roman"/>
    </w:rPr>
  </w:style>
  <w:style w:type="paragraph" w:customStyle="1" w:styleId="CV9ParagraphStyle13">
    <w:name w:val="CV9ParagraphStyle13"/>
    <w:hidden/>
    <w:rsid w:val="00130634"/>
    <w:pPr>
      <w:spacing w:after="0" w:line="240" w:lineRule="auto"/>
      <w:ind w:left="28" w:right="28"/>
    </w:pPr>
    <w:rPr>
      <w:rFonts w:ascii="Times New Roman" w:hAnsi="Times New Roman" w:cs="Times New Roman"/>
    </w:rPr>
  </w:style>
  <w:style w:type="paragraph" w:customStyle="1" w:styleId="CV9ParagraphStyle14">
    <w:name w:val="CV9ParagraphStyle14"/>
    <w:hidden/>
    <w:rsid w:val="00130634"/>
    <w:pPr>
      <w:spacing w:after="0" w:line="240" w:lineRule="auto"/>
      <w:ind w:left="28" w:right="28"/>
      <w:jc w:val="right"/>
    </w:pPr>
    <w:rPr>
      <w:rFonts w:ascii="Times New Roman" w:hAnsi="Times New Roman" w:cs="Times New Roman"/>
    </w:rPr>
  </w:style>
  <w:style w:type="paragraph" w:customStyle="1" w:styleId="CV9ParagraphStyle15">
    <w:name w:val="CV9ParagraphStyle15"/>
    <w:hidden/>
    <w:rsid w:val="00130634"/>
    <w:pPr>
      <w:spacing w:after="0" w:line="240" w:lineRule="auto"/>
      <w:ind w:left="28" w:right="28"/>
    </w:pPr>
    <w:rPr>
      <w:rFonts w:ascii="Times New Roman" w:hAnsi="Times New Roman" w:cs="Times New Roman"/>
    </w:rPr>
  </w:style>
  <w:style w:type="paragraph" w:customStyle="1" w:styleId="CV9ParagraphStyle16">
    <w:name w:val="CV9ParagraphStyle16"/>
    <w:hidden/>
    <w:rsid w:val="00130634"/>
    <w:pPr>
      <w:spacing w:after="0" w:line="240" w:lineRule="auto"/>
      <w:ind w:left="28" w:right="28"/>
      <w:jc w:val="right"/>
    </w:pPr>
    <w:rPr>
      <w:rFonts w:ascii="Times New Roman" w:hAnsi="Times New Roman" w:cs="Times New Roman"/>
    </w:rPr>
  </w:style>
  <w:style w:type="character" w:customStyle="1" w:styleId="CV9FakeCharacterStyle">
    <w:name w:val="CV9FakeCharacterStyle"/>
    <w:hidden/>
    <w:rsid w:val="00130634"/>
    <w:rPr>
      <w:sz w:val="1"/>
      <w:szCs w:val="1"/>
    </w:rPr>
  </w:style>
  <w:style w:type="character" w:customStyle="1" w:styleId="CV9CharacterStyle1">
    <w:name w:val="CV9CharacterStyle1"/>
    <w:hidden/>
    <w:rsid w:val="00130634"/>
    <w:rPr>
      <w:rFonts w:ascii="Times New Roman" w:eastAsia="Times New Roman" w:hAnsi="Times New Roman" w:cs="Times New Roman"/>
      <w:b w:val="0"/>
      <w:i w:val="0"/>
      <w:strike w:val="0"/>
      <w:noProof/>
      <w:color w:val="F5F5F5"/>
      <w:sz w:val="20"/>
      <w:szCs w:val="20"/>
      <w:u w:val="none"/>
    </w:rPr>
  </w:style>
  <w:style w:type="character" w:customStyle="1" w:styleId="CV9CharacterStyle2">
    <w:name w:val="CV9CharacterStyle2"/>
    <w:hidden/>
    <w:rsid w:val="00130634"/>
    <w:rPr>
      <w:rFonts w:ascii="Times New Roman" w:eastAsia="Times New Roman" w:hAnsi="Times New Roman" w:cs="Times New Roman"/>
      <w:b/>
      <w:i w:val="0"/>
      <w:strike w:val="0"/>
      <w:noProof/>
      <w:color w:val="000000"/>
      <w:sz w:val="20"/>
      <w:szCs w:val="20"/>
      <w:u w:val="none"/>
    </w:rPr>
  </w:style>
  <w:style w:type="character" w:customStyle="1" w:styleId="CV9CharacterStyle4">
    <w:name w:val="CV9CharacterStyle4"/>
    <w:hidden/>
    <w:rsid w:val="00130634"/>
    <w:rPr>
      <w:rFonts w:ascii="Times New Roman" w:eastAsia="Times New Roman" w:hAnsi="Times New Roman" w:cs="Times New Roman"/>
      <w:b w:val="0"/>
      <w:i w:val="0"/>
      <w:strike w:val="0"/>
      <w:noProof/>
      <w:color w:val="FFFFFF"/>
      <w:sz w:val="20"/>
      <w:szCs w:val="20"/>
      <w:u w:val="none"/>
    </w:rPr>
  </w:style>
  <w:style w:type="character" w:customStyle="1" w:styleId="CV9CharacterStyle5">
    <w:name w:val="CV9CharacterStyle5"/>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6">
    <w:name w:val="CV9CharacterStyle6"/>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7">
    <w:name w:val="CV9CharacterStyle7"/>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8">
    <w:name w:val="CV9CharacterStyle8"/>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9">
    <w:name w:val="CV9CharacterStyle9"/>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10">
    <w:name w:val="CV9CharacterStyle10"/>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9CharacterStyle11">
    <w:name w:val="CV9CharacterStyle11"/>
    <w:hidden/>
    <w:rsid w:val="00130634"/>
    <w:rPr>
      <w:rFonts w:ascii="Times New Roman" w:eastAsia="Times New Roman" w:hAnsi="Times New Roman" w:cs="Times New Roman"/>
      <w:b w:val="0"/>
      <w:i w:val="0"/>
      <w:strike w:val="0"/>
      <w:noProof/>
      <w:color w:val="FFFFFF"/>
      <w:sz w:val="10"/>
      <w:szCs w:val="10"/>
      <w:u w:val="none"/>
    </w:rPr>
  </w:style>
  <w:style w:type="character" w:customStyle="1" w:styleId="CV9CharacterStyle12">
    <w:name w:val="CV9CharacterStyle12"/>
    <w:hidden/>
    <w:rsid w:val="00130634"/>
    <w:rPr>
      <w:rFonts w:ascii="Times New Roman" w:eastAsia="Times New Roman" w:hAnsi="Times New Roman" w:cs="Times New Roman"/>
      <w:b w:val="0"/>
      <w:i w:val="0"/>
      <w:strike w:val="0"/>
      <w:noProof/>
      <w:color w:val="FFFFFF"/>
      <w:sz w:val="10"/>
      <w:szCs w:val="10"/>
      <w:u w:val="none"/>
    </w:rPr>
  </w:style>
  <w:style w:type="character" w:customStyle="1" w:styleId="CV9CharacterStyle13">
    <w:name w:val="CV9CharacterStyle13"/>
    <w:hidden/>
    <w:rsid w:val="00130634"/>
    <w:rPr>
      <w:rFonts w:ascii="Times New Roman" w:eastAsia="Times New Roman" w:hAnsi="Times New Roman" w:cs="Times New Roman"/>
      <w:b/>
      <w:i w:val="0"/>
      <w:strike w:val="0"/>
      <w:noProof/>
      <w:color w:val="000000"/>
      <w:sz w:val="20"/>
      <w:szCs w:val="20"/>
      <w:u w:val="none"/>
    </w:rPr>
  </w:style>
  <w:style w:type="character" w:customStyle="1" w:styleId="CV9CharacterStyle14">
    <w:name w:val="CV9CharacterStyle14"/>
    <w:hidden/>
    <w:rsid w:val="00130634"/>
    <w:rPr>
      <w:rFonts w:ascii="Times New Roman" w:eastAsia="Times New Roman" w:hAnsi="Times New Roman" w:cs="Times New Roman"/>
      <w:b/>
      <w:i w:val="0"/>
      <w:strike w:val="0"/>
      <w:noProof/>
      <w:color w:val="000000"/>
      <w:sz w:val="20"/>
      <w:szCs w:val="20"/>
      <w:u w:val="none"/>
    </w:rPr>
  </w:style>
  <w:style w:type="paragraph" w:customStyle="1" w:styleId="CV10ParagraphStyle3">
    <w:name w:val="CV10ParagraphStyle3"/>
    <w:hidden/>
    <w:rsid w:val="00130634"/>
    <w:pPr>
      <w:spacing w:after="0" w:line="240" w:lineRule="auto"/>
      <w:ind w:left="28" w:right="28"/>
      <w:jc w:val="center"/>
    </w:pPr>
    <w:rPr>
      <w:rFonts w:ascii="Times New Roman" w:hAnsi="Times New Roman" w:cs="Times New Roman"/>
    </w:rPr>
  </w:style>
  <w:style w:type="paragraph" w:customStyle="1" w:styleId="CV10ParagraphStyle4">
    <w:name w:val="CV10ParagraphStyle4"/>
    <w:hidden/>
    <w:rsid w:val="00130634"/>
    <w:pPr>
      <w:spacing w:after="0" w:line="240" w:lineRule="auto"/>
    </w:pPr>
    <w:rPr>
      <w:rFonts w:ascii="Times New Roman" w:hAnsi="Times New Roman" w:cs="Times New Roman"/>
    </w:rPr>
  </w:style>
  <w:style w:type="paragraph" w:customStyle="1" w:styleId="CV10ParagraphStyle5">
    <w:name w:val="CV10ParagraphStyle5"/>
    <w:hidden/>
    <w:rsid w:val="00130634"/>
    <w:pPr>
      <w:spacing w:after="0" w:line="240" w:lineRule="auto"/>
      <w:ind w:left="28" w:right="28"/>
    </w:pPr>
    <w:rPr>
      <w:rFonts w:ascii="Times New Roman" w:hAnsi="Times New Roman" w:cs="Times New Roman"/>
    </w:rPr>
  </w:style>
  <w:style w:type="paragraph" w:customStyle="1" w:styleId="CV10ParagraphStyle6">
    <w:name w:val="CV10ParagraphStyle6"/>
    <w:hidden/>
    <w:rsid w:val="00130634"/>
    <w:pPr>
      <w:spacing w:after="0" w:line="240" w:lineRule="auto"/>
      <w:ind w:left="28" w:right="28"/>
      <w:jc w:val="right"/>
    </w:pPr>
    <w:rPr>
      <w:rFonts w:ascii="Times New Roman" w:hAnsi="Times New Roman" w:cs="Times New Roman"/>
    </w:rPr>
  </w:style>
  <w:style w:type="paragraph" w:customStyle="1" w:styleId="CV10ParagraphStyle7">
    <w:name w:val="CV10ParagraphStyle7"/>
    <w:hidden/>
    <w:rsid w:val="00130634"/>
    <w:pPr>
      <w:spacing w:after="0" w:line="240" w:lineRule="auto"/>
      <w:ind w:left="28" w:right="28"/>
    </w:pPr>
    <w:rPr>
      <w:rFonts w:ascii="Times New Roman" w:hAnsi="Times New Roman" w:cs="Times New Roman"/>
    </w:rPr>
  </w:style>
  <w:style w:type="paragraph" w:customStyle="1" w:styleId="CV10ParagraphStyle8">
    <w:name w:val="CV10ParagraphStyle8"/>
    <w:hidden/>
    <w:rsid w:val="00130634"/>
    <w:pPr>
      <w:spacing w:after="0" w:line="240" w:lineRule="auto"/>
      <w:ind w:left="28" w:right="28"/>
      <w:jc w:val="right"/>
    </w:pPr>
    <w:rPr>
      <w:rFonts w:ascii="Times New Roman" w:hAnsi="Times New Roman" w:cs="Times New Roman"/>
    </w:rPr>
  </w:style>
  <w:style w:type="paragraph" w:customStyle="1" w:styleId="CV10ParagraphStyle9">
    <w:name w:val="CV10ParagraphStyle9"/>
    <w:hidden/>
    <w:rsid w:val="00130634"/>
    <w:pPr>
      <w:spacing w:after="0" w:line="240" w:lineRule="auto"/>
      <w:ind w:left="28" w:right="28"/>
    </w:pPr>
    <w:rPr>
      <w:rFonts w:ascii="Times New Roman" w:hAnsi="Times New Roman" w:cs="Times New Roman"/>
    </w:rPr>
  </w:style>
  <w:style w:type="paragraph" w:customStyle="1" w:styleId="CV10ParagraphStyle10">
    <w:name w:val="CV10ParagraphStyle10"/>
    <w:hidden/>
    <w:rsid w:val="00130634"/>
    <w:pPr>
      <w:spacing w:after="0" w:line="240" w:lineRule="auto"/>
      <w:ind w:left="28" w:right="28"/>
      <w:jc w:val="right"/>
    </w:pPr>
    <w:rPr>
      <w:rFonts w:ascii="Times New Roman" w:hAnsi="Times New Roman" w:cs="Times New Roman"/>
    </w:rPr>
  </w:style>
  <w:style w:type="character" w:customStyle="1" w:styleId="CV10FakeCharacterStyle">
    <w:name w:val="CV10FakeCharacterStyle"/>
    <w:hidden/>
    <w:rsid w:val="00130634"/>
    <w:rPr>
      <w:sz w:val="1"/>
      <w:szCs w:val="1"/>
    </w:rPr>
  </w:style>
  <w:style w:type="character" w:customStyle="1" w:styleId="CV10CharacterStyle3">
    <w:name w:val="CV10CharacterStyle3"/>
    <w:hidden/>
    <w:rsid w:val="00130634"/>
    <w:rPr>
      <w:rFonts w:ascii="Times New Roman" w:eastAsia="Times New Roman" w:hAnsi="Times New Roman" w:cs="Times New Roman"/>
      <w:b/>
      <w:i w:val="0"/>
      <w:strike w:val="0"/>
      <w:noProof/>
      <w:color w:val="000000"/>
      <w:sz w:val="20"/>
      <w:szCs w:val="20"/>
      <w:u w:val="none"/>
    </w:rPr>
  </w:style>
  <w:style w:type="character" w:customStyle="1" w:styleId="CV10CharacterStyle4">
    <w:name w:val="CV10CharacterStyle4"/>
    <w:hidden/>
    <w:rsid w:val="00130634"/>
    <w:rPr>
      <w:rFonts w:ascii="Times New Roman" w:eastAsia="Times New Roman" w:hAnsi="Times New Roman" w:cs="Times New Roman"/>
      <w:b/>
      <w:i w:val="0"/>
      <w:strike w:val="0"/>
      <w:noProof/>
      <w:color w:val="000000"/>
      <w:sz w:val="20"/>
      <w:szCs w:val="20"/>
      <w:u w:val="none"/>
    </w:rPr>
  </w:style>
  <w:style w:type="character" w:customStyle="1" w:styleId="CV10CharacterStyle5">
    <w:name w:val="CV10CharacterStyle5"/>
    <w:hidden/>
    <w:rsid w:val="00130634"/>
    <w:rPr>
      <w:rFonts w:ascii="Times New Roman" w:eastAsia="Times New Roman" w:hAnsi="Times New Roman" w:cs="Times New Roman"/>
      <w:b w:val="0"/>
      <w:i w:val="0"/>
      <w:strike w:val="0"/>
      <w:noProof/>
      <w:color w:val="FFFFFF"/>
      <w:sz w:val="20"/>
      <w:szCs w:val="20"/>
      <w:u w:val="none"/>
    </w:rPr>
  </w:style>
  <w:style w:type="character" w:customStyle="1" w:styleId="CV10CharacterStyle6">
    <w:name w:val="CV10CharacterStyle6"/>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0CharacterStyle7">
    <w:name w:val="CV10CharacterStyle7"/>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0CharacterStyle8">
    <w:name w:val="CV10CharacterStyle8"/>
    <w:hidden/>
    <w:rsid w:val="00130634"/>
    <w:rPr>
      <w:rFonts w:ascii="Times New Roman" w:eastAsia="Times New Roman" w:hAnsi="Times New Roman" w:cs="Times New Roman"/>
      <w:b/>
      <w:i w:val="0"/>
      <w:strike w:val="0"/>
      <w:noProof/>
      <w:color w:val="000000"/>
      <w:sz w:val="20"/>
      <w:szCs w:val="20"/>
      <w:u w:val="none"/>
    </w:rPr>
  </w:style>
  <w:style w:type="character" w:customStyle="1" w:styleId="CV10CharacterStyle9">
    <w:name w:val="CV10CharacterStyle9"/>
    <w:hidden/>
    <w:rsid w:val="00130634"/>
    <w:rPr>
      <w:rFonts w:ascii="Times New Roman" w:eastAsia="Times New Roman" w:hAnsi="Times New Roman" w:cs="Times New Roman"/>
      <w:b/>
      <w:i w:val="0"/>
      <w:strike w:val="0"/>
      <w:noProof/>
      <w:color w:val="000000"/>
      <w:sz w:val="20"/>
      <w:szCs w:val="20"/>
      <w:u w:val="none"/>
    </w:rPr>
  </w:style>
  <w:style w:type="paragraph" w:customStyle="1" w:styleId="CV12ParagraphStyle2">
    <w:name w:val="CV12ParagraphStyle2"/>
    <w:hidden/>
    <w:rsid w:val="00130634"/>
    <w:pPr>
      <w:spacing w:after="0" w:line="240" w:lineRule="auto"/>
      <w:ind w:left="28" w:right="28"/>
      <w:jc w:val="right"/>
    </w:pPr>
    <w:rPr>
      <w:rFonts w:ascii="Times New Roman" w:hAnsi="Times New Roman" w:cs="Times New Roman"/>
    </w:rPr>
  </w:style>
  <w:style w:type="paragraph" w:customStyle="1" w:styleId="CV12ParagraphStyle3">
    <w:name w:val="CV12ParagraphStyle3"/>
    <w:hidden/>
    <w:rsid w:val="00130634"/>
    <w:pPr>
      <w:spacing w:after="0" w:line="240" w:lineRule="auto"/>
    </w:pPr>
    <w:rPr>
      <w:rFonts w:ascii="Times New Roman" w:hAnsi="Times New Roman" w:cs="Times New Roman"/>
    </w:rPr>
  </w:style>
  <w:style w:type="paragraph" w:customStyle="1" w:styleId="CV12ParagraphStyle4">
    <w:name w:val="CV12ParagraphStyle4"/>
    <w:hidden/>
    <w:rsid w:val="00130634"/>
    <w:pPr>
      <w:spacing w:after="0" w:line="240" w:lineRule="auto"/>
      <w:ind w:left="28" w:right="28"/>
    </w:pPr>
    <w:rPr>
      <w:rFonts w:ascii="Times New Roman" w:hAnsi="Times New Roman" w:cs="Times New Roman"/>
    </w:rPr>
  </w:style>
  <w:style w:type="paragraph" w:customStyle="1" w:styleId="CV12ParagraphStyle5">
    <w:name w:val="CV12ParagraphStyle5"/>
    <w:hidden/>
    <w:rsid w:val="00130634"/>
    <w:pPr>
      <w:spacing w:after="0" w:line="240" w:lineRule="auto"/>
      <w:ind w:left="28" w:right="28"/>
      <w:jc w:val="right"/>
    </w:pPr>
    <w:rPr>
      <w:rFonts w:ascii="Times New Roman" w:hAnsi="Times New Roman" w:cs="Times New Roman"/>
    </w:rPr>
  </w:style>
  <w:style w:type="paragraph" w:customStyle="1" w:styleId="CV12ParagraphStyle6">
    <w:name w:val="CV12ParagraphStyle6"/>
    <w:hidden/>
    <w:rsid w:val="00130634"/>
    <w:pPr>
      <w:spacing w:after="0" w:line="240" w:lineRule="auto"/>
      <w:ind w:left="28" w:right="28"/>
    </w:pPr>
    <w:rPr>
      <w:rFonts w:ascii="Times New Roman" w:hAnsi="Times New Roman" w:cs="Times New Roman"/>
    </w:rPr>
  </w:style>
  <w:style w:type="paragraph" w:customStyle="1" w:styleId="CV12ParagraphStyle7">
    <w:name w:val="CV12ParagraphStyle7"/>
    <w:hidden/>
    <w:rsid w:val="00130634"/>
    <w:pPr>
      <w:spacing w:after="0" w:line="240" w:lineRule="auto"/>
      <w:ind w:left="28" w:right="28"/>
      <w:jc w:val="right"/>
    </w:pPr>
    <w:rPr>
      <w:rFonts w:ascii="Times New Roman" w:hAnsi="Times New Roman" w:cs="Times New Roman"/>
    </w:rPr>
  </w:style>
  <w:style w:type="character" w:customStyle="1" w:styleId="CV12FakeCharacterStyle">
    <w:name w:val="CV12FakeCharacterStyle"/>
    <w:hidden/>
    <w:rsid w:val="00130634"/>
    <w:rPr>
      <w:sz w:val="1"/>
      <w:szCs w:val="1"/>
    </w:rPr>
  </w:style>
  <w:style w:type="character" w:customStyle="1" w:styleId="CV12CharacterStyle2">
    <w:name w:val="CV12CharacterStyle2"/>
    <w:hidden/>
    <w:rsid w:val="00130634"/>
    <w:rPr>
      <w:rFonts w:ascii="Times New Roman" w:eastAsia="Times New Roman" w:hAnsi="Times New Roman" w:cs="Times New Roman"/>
      <w:b/>
      <w:i w:val="0"/>
      <w:strike w:val="0"/>
      <w:noProof/>
      <w:color w:val="000000"/>
      <w:sz w:val="20"/>
      <w:szCs w:val="20"/>
      <w:u w:val="none"/>
    </w:rPr>
  </w:style>
  <w:style w:type="character" w:customStyle="1" w:styleId="CV12CharacterStyle3">
    <w:name w:val="CV12CharacterStyle3"/>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2CharacterStyle4">
    <w:name w:val="CV12CharacterStyle4"/>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2CharacterStyle5">
    <w:name w:val="CV12CharacterStyle5"/>
    <w:hidden/>
    <w:rsid w:val="00130634"/>
    <w:rPr>
      <w:rFonts w:ascii="Times New Roman" w:eastAsia="Times New Roman" w:hAnsi="Times New Roman" w:cs="Times New Roman"/>
      <w:b/>
      <w:i w:val="0"/>
      <w:strike w:val="0"/>
      <w:noProof/>
      <w:color w:val="000000"/>
      <w:sz w:val="20"/>
      <w:szCs w:val="20"/>
      <w:u w:val="none"/>
    </w:rPr>
  </w:style>
  <w:style w:type="character" w:customStyle="1" w:styleId="CV12CharacterStyle6">
    <w:name w:val="CV12CharacterStyle6"/>
    <w:hidden/>
    <w:rsid w:val="00130634"/>
    <w:rPr>
      <w:rFonts w:ascii="Times New Roman" w:eastAsia="Times New Roman" w:hAnsi="Times New Roman" w:cs="Times New Roman"/>
      <w:b/>
      <w:i w:val="0"/>
      <w:strike w:val="0"/>
      <w:noProof/>
      <w:color w:val="000000"/>
      <w:sz w:val="20"/>
      <w:szCs w:val="20"/>
      <w:u w:val="none"/>
    </w:rPr>
  </w:style>
  <w:style w:type="paragraph" w:customStyle="1" w:styleId="CV11ParagraphStyle2">
    <w:name w:val="CV11ParagraphStyle2"/>
    <w:hidden/>
    <w:rsid w:val="00130634"/>
    <w:pPr>
      <w:spacing w:after="0" w:line="240" w:lineRule="auto"/>
      <w:ind w:left="28" w:right="28"/>
      <w:jc w:val="right"/>
    </w:pPr>
    <w:rPr>
      <w:rFonts w:ascii="Times New Roman" w:hAnsi="Times New Roman" w:cs="Times New Roman"/>
    </w:rPr>
  </w:style>
  <w:style w:type="paragraph" w:customStyle="1" w:styleId="CV11ParagraphStyle3">
    <w:name w:val="CV11ParagraphStyle3"/>
    <w:hidden/>
    <w:rsid w:val="00130634"/>
    <w:pPr>
      <w:spacing w:after="0" w:line="240" w:lineRule="auto"/>
    </w:pPr>
    <w:rPr>
      <w:rFonts w:ascii="Times New Roman" w:hAnsi="Times New Roman" w:cs="Times New Roman"/>
    </w:rPr>
  </w:style>
  <w:style w:type="paragraph" w:customStyle="1" w:styleId="CV11ParagraphStyle4">
    <w:name w:val="CV11ParagraphStyle4"/>
    <w:hidden/>
    <w:rsid w:val="00130634"/>
    <w:pPr>
      <w:spacing w:after="0" w:line="240" w:lineRule="auto"/>
      <w:ind w:left="28" w:right="28"/>
    </w:pPr>
    <w:rPr>
      <w:rFonts w:ascii="Times New Roman" w:hAnsi="Times New Roman" w:cs="Times New Roman"/>
    </w:rPr>
  </w:style>
  <w:style w:type="paragraph" w:customStyle="1" w:styleId="CV11ParagraphStyle5">
    <w:name w:val="CV11ParagraphStyle5"/>
    <w:hidden/>
    <w:rsid w:val="00130634"/>
    <w:pPr>
      <w:spacing w:after="0" w:line="240" w:lineRule="auto"/>
      <w:ind w:left="28" w:right="28"/>
      <w:jc w:val="right"/>
    </w:pPr>
    <w:rPr>
      <w:rFonts w:ascii="Times New Roman" w:hAnsi="Times New Roman" w:cs="Times New Roman"/>
    </w:rPr>
  </w:style>
  <w:style w:type="paragraph" w:customStyle="1" w:styleId="CV11ParagraphStyle6">
    <w:name w:val="CV11ParagraphStyle6"/>
    <w:hidden/>
    <w:rsid w:val="00130634"/>
    <w:pPr>
      <w:spacing w:after="0" w:line="240" w:lineRule="auto"/>
      <w:ind w:left="28" w:right="28"/>
    </w:pPr>
    <w:rPr>
      <w:rFonts w:ascii="Times New Roman" w:hAnsi="Times New Roman" w:cs="Times New Roman"/>
    </w:rPr>
  </w:style>
  <w:style w:type="paragraph" w:customStyle="1" w:styleId="CV11ParagraphStyle7">
    <w:name w:val="CV11ParagraphStyle7"/>
    <w:hidden/>
    <w:rsid w:val="00130634"/>
    <w:pPr>
      <w:spacing w:before="244" w:after="0" w:line="240" w:lineRule="auto"/>
      <w:ind w:left="28" w:right="28"/>
      <w:jc w:val="right"/>
    </w:pPr>
    <w:rPr>
      <w:rFonts w:ascii="Times New Roman" w:hAnsi="Times New Roman" w:cs="Times New Roman"/>
    </w:rPr>
  </w:style>
  <w:style w:type="paragraph" w:customStyle="1" w:styleId="CV11ParagraphStyle8">
    <w:name w:val="CV11ParagraphStyle8"/>
    <w:hidden/>
    <w:rsid w:val="00130634"/>
    <w:pPr>
      <w:spacing w:after="0" w:line="240" w:lineRule="auto"/>
    </w:pPr>
    <w:rPr>
      <w:rFonts w:ascii="Times New Roman" w:hAnsi="Times New Roman" w:cs="Times New Roman"/>
    </w:rPr>
  </w:style>
  <w:style w:type="character" w:customStyle="1" w:styleId="CV11FakeCharacterStyle">
    <w:name w:val="CV11FakeCharacterStyle"/>
    <w:hidden/>
    <w:rsid w:val="00130634"/>
    <w:rPr>
      <w:sz w:val="1"/>
      <w:szCs w:val="1"/>
    </w:rPr>
  </w:style>
  <w:style w:type="character" w:customStyle="1" w:styleId="CV11CharacterStyle2">
    <w:name w:val="CV11CharacterStyle2"/>
    <w:hidden/>
    <w:rsid w:val="00130634"/>
    <w:rPr>
      <w:rFonts w:ascii="Times New Roman" w:eastAsia="Times New Roman" w:hAnsi="Times New Roman" w:cs="Times New Roman"/>
      <w:b/>
      <w:i w:val="0"/>
      <w:strike w:val="0"/>
      <w:noProof/>
      <w:color w:val="000000"/>
      <w:sz w:val="20"/>
      <w:szCs w:val="20"/>
      <w:u w:val="none"/>
    </w:rPr>
  </w:style>
  <w:style w:type="character" w:customStyle="1" w:styleId="CV11CharacterStyle3">
    <w:name w:val="CV11CharacterStyle3"/>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1CharacterStyle4">
    <w:name w:val="CV11CharacterStyle4"/>
    <w:hidden/>
    <w:rsid w:val="00130634"/>
    <w:rPr>
      <w:rFonts w:ascii="Times New Roman" w:eastAsia="Times New Roman" w:hAnsi="Times New Roman" w:cs="Times New Roman"/>
      <w:b w:val="0"/>
      <w:i w:val="0"/>
      <w:strike w:val="0"/>
      <w:noProof/>
      <w:color w:val="000000"/>
      <w:sz w:val="20"/>
      <w:szCs w:val="20"/>
      <w:u w:val="none"/>
    </w:rPr>
  </w:style>
  <w:style w:type="character" w:customStyle="1" w:styleId="CV11CharacterStyle5">
    <w:name w:val="CV11CharacterStyle5"/>
    <w:hidden/>
    <w:rsid w:val="00130634"/>
    <w:rPr>
      <w:rFonts w:ascii="Times New Roman" w:eastAsia="Times New Roman" w:hAnsi="Times New Roman" w:cs="Times New Roman"/>
      <w:b/>
      <w:i w:val="0"/>
      <w:strike w:val="0"/>
      <w:noProof/>
      <w:color w:val="000000"/>
      <w:sz w:val="20"/>
      <w:szCs w:val="20"/>
      <w:u w:val="none"/>
    </w:rPr>
  </w:style>
  <w:style w:type="character" w:customStyle="1" w:styleId="CV11CharacterStyle6">
    <w:name w:val="CV11CharacterStyle6"/>
    <w:hidden/>
    <w:rsid w:val="00130634"/>
    <w:rPr>
      <w:rFonts w:ascii="Times New Roman" w:eastAsia="Times New Roman" w:hAnsi="Times New Roman" w:cs="Times New Roman"/>
      <w:b/>
      <w:i w:val="0"/>
      <w:strike w:val="0"/>
      <w:noProof/>
      <w:color w:val="000000"/>
      <w:sz w:val="20"/>
      <w:szCs w:val="20"/>
      <w:u w:val="none"/>
    </w:rPr>
  </w:style>
  <w:style w:type="paragraph" w:customStyle="1" w:styleId="CV13ParagraphStyle2">
    <w:name w:val="CV13ParagraphStyle2"/>
    <w:hidden/>
    <w:rsid w:val="00192126"/>
    <w:pPr>
      <w:spacing w:after="0" w:line="240" w:lineRule="auto"/>
      <w:ind w:left="28" w:right="28"/>
      <w:jc w:val="center"/>
    </w:pPr>
    <w:rPr>
      <w:rFonts w:ascii="Times New Roman" w:hAnsi="Times New Roman" w:cs="Times New Roman"/>
    </w:rPr>
  </w:style>
  <w:style w:type="paragraph" w:customStyle="1" w:styleId="CV13ParagraphStyle3">
    <w:name w:val="CV13ParagraphStyle3"/>
    <w:hidden/>
    <w:rsid w:val="00192126"/>
    <w:pPr>
      <w:spacing w:after="0" w:line="240" w:lineRule="auto"/>
    </w:pPr>
    <w:rPr>
      <w:rFonts w:ascii="Times New Roman" w:hAnsi="Times New Roman" w:cs="Times New Roman"/>
    </w:rPr>
  </w:style>
  <w:style w:type="paragraph" w:customStyle="1" w:styleId="CV13ParagraphStyle4">
    <w:name w:val="CV13ParagraphStyle4"/>
    <w:hidden/>
    <w:rsid w:val="00192126"/>
    <w:pPr>
      <w:spacing w:after="0" w:line="240" w:lineRule="auto"/>
      <w:ind w:left="28" w:right="28"/>
    </w:pPr>
    <w:rPr>
      <w:rFonts w:ascii="Times New Roman" w:hAnsi="Times New Roman" w:cs="Times New Roman"/>
    </w:rPr>
  </w:style>
  <w:style w:type="paragraph" w:customStyle="1" w:styleId="CV13ParagraphStyle5">
    <w:name w:val="CV13ParagraphStyle5"/>
    <w:hidden/>
    <w:rsid w:val="00192126"/>
    <w:pPr>
      <w:spacing w:after="0" w:line="240" w:lineRule="auto"/>
      <w:ind w:left="28" w:right="28"/>
      <w:jc w:val="right"/>
    </w:pPr>
    <w:rPr>
      <w:rFonts w:ascii="Times New Roman" w:hAnsi="Times New Roman" w:cs="Times New Roman"/>
    </w:rPr>
  </w:style>
  <w:style w:type="paragraph" w:customStyle="1" w:styleId="CV13ParagraphStyle6">
    <w:name w:val="CV13ParagraphStyle6"/>
    <w:hidden/>
    <w:rsid w:val="00192126"/>
    <w:pPr>
      <w:spacing w:after="0" w:line="240" w:lineRule="auto"/>
      <w:ind w:left="28" w:right="28"/>
    </w:pPr>
    <w:rPr>
      <w:rFonts w:ascii="Times New Roman" w:hAnsi="Times New Roman" w:cs="Times New Roman"/>
    </w:rPr>
  </w:style>
  <w:style w:type="paragraph" w:customStyle="1" w:styleId="CV13ParagraphStyle7">
    <w:name w:val="CV13ParagraphStyle7"/>
    <w:hidden/>
    <w:rsid w:val="00192126"/>
    <w:pPr>
      <w:spacing w:after="0" w:line="240" w:lineRule="auto"/>
      <w:ind w:left="28" w:right="28"/>
      <w:jc w:val="right"/>
    </w:pPr>
    <w:rPr>
      <w:rFonts w:ascii="Times New Roman" w:hAnsi="Times New Roman" w:cs="Times New Roman"/>
    </w:rPr>
  </w:style>
  <w:style w:type="paragraph" w:customStyle="1" w:styleId="CV13ParagraphStyle8">
    <w:name w:val="CV13ParagraphStyle8"/>
    <w:hidden/>
    <w:rsid w:val="00192126"/>
    <w:pPr>
      <w:spacing w:after="0" w:line="240" w:lineRule="auto"/>
      <w:ind w:left="28" w:right="28"/>
    </w:pPr>
    <w:rPr>
      <w:rFonts w:ascii="Times New Roman" w:hAnsi="Times New Roman" w:cs="Times New Roman"/>
    </w:rPr>
  </w:style>
  <w:style w:type="paragraph" w:customStyle="1" w:styleId="CV13ParagraphStyle9">
    <w:name w:val="CV13ParagraphStyle9"/>
    <w:hidden/>
    <w:rsid w:val="00192126"/>
    <w:pPr>
      <w:spacing w:after="0" w:line="240" w:lineRule="auto"/>
      <w:ind w:left="28" w:right="28"/>
      <w:jc w:val="right"/>
    </w:pPr>
    <w:rPr>
      <w:rFonts w:ascii="Times New Roman" w:hAnsi="Times New Roman" w:cs="Times New Roman"/>
    </w:rPr>
  </w:style>
  <w:style w:type="paragraph" w:customStyle="1" w:styleId="CV13ParagraphStyle10">
    <w:name w:val="CV13ParagraphStyle10"/>
    <w:hidden/>
    <w:rsid w:val="00192126"/>
    <w:pPr>
      <w:spacing w:after="0" w:line="240" w:lineRule="auto"/>
    </w:pPr>
    <w:rPr>
      <w:rFonts w:ascii="Times New Roman" w:hAnsi="Times New Roman" w:cs="Times New Roman"/>
    </w:rPr>
  </w:style>
  <w:style w:type="paragraph" w:customStyle="1" w:styleId="CV13ParagraphStyle11">
    <w:name w:val="CV13ParagraphStyle11"/>
    <w:hidden/>
    <w:rsid w:val="00192126"/>
    <w:pPr>
      <w:spacing w:after="0" w:line="240" w:lineRule="auto"/>
      <w:ind w:left="28" w:right="28"/>
    </w:pPr>
    <w:rPr>
      <w:rFonts w:ascii="Times New Roman" w:hAnsi="Times New Roman" w:cs="Times New Roman"/>
    </w:rPr>
  </w:style>
  <w:style w:type="paragraph" w:customStyle="1" w:styleId="CV13ParagraphStyle12">
    <w:name w:val="CV13ParagraphStyle12"/>
    <w:hidden/>
    <w:rsid w:val="00192126"/>
    <w:pPr>
      <w:spacing w:after="0" w:line="240" w:lineRule="auto"/>
      <w:ind w:left="28" w:right="28"/>
      <w:jc w:val="right"/>
    </w:pPr>
    <w:rPr>
      <w:rFonts w:ascii="Times New Roman" w:hAnsi="Times New Roman" w:cs="Times New Roman"/>
    </w:rPr>
  </w:style>
  <w:style w:type="character" w:customStyle="1" w:styleId="CV13FakeCharacterStyle">
    <w:name w:val="CV13FakeCharacterStyle"/>
    <w:hidden/>
    <w:rsid w:val="00192126"/>
    <w:rPr>
      <w:sz w:val="1"/>
      <w:szCs w:val="1"/>
    </w:rPr>
  </w:style>
  <w:style w:type="character" w:customStyle="1" w:styleId="CV13CharacterStyle2">
    <w:name w:val="CV13CharacterStyle2"/>
    <w:hidden/>
    <w:rsid w:val="00192126"/>
    <w:rPr>
      <w:rFonts w:ascii="Times New Roman" w:eastAsia="Times New Roman" w:hAnsi="Times New Roman" w:cs="Times New Roman"/>
      <w:b/>
      <w:i w:val="0"/>
      <w:strike w:val="0"/>
      <w:noProof/>
      <w:color w:val="000000"/>
      <w:sz w:val="20"/>
      <w:szCs w:val="20"/>
      <w:u w:val="none"/>
    </w:rPr>
  </w:style>
  <w:style w:type="character" w:customStyle="1" w:styleId="CV13CharacterStyle3">
    <w:name w:val="CV13CharacterStyle3"/>
    <w:hidden/>
    <w:rsid w:val="00192126"/>
    <w:rPr>
      <w:rFonts w:ascii="Times New Roman" w:eastAsia="Times New Roman" w:hAnsi="Times New Roman" w:cs="Times New Roman"/>
      <w:b/>
      <w:i w:val="0"/>
      <w:strike w:val="0"/>
      <w:noProof/>
      <w:color w:val="000000"/>
      <w:sz w:val="20"/>
      <w:szCs w:val="20"/>
      <w:u w:val="none"/>
    </w:rPr>
  </w:style>
  <w:style w:type="character" w:customStyle="1" w:styleId="CV13CharacterStyle4">
    <w:name w:val="CV13CharacterStyle4"/>
    <w:hidden/>
    <w:rsid w:val="00192126"/>
    <w:rPr>
      <w:rFonts w:ascii="Times New Roman" w:eastAsia="Times New Roman" w:hAnsi="Times New Roman" w:cs="Times New Roman"/>
      <w:b w:val="0"/>
      <w:i w:val="0"/>
      <w:strike w:val="0"/>
      <w:noProof/>
      <w:color w:val="FFFFFF"/>
      <w:sz w:val="20"/>
      <w:szCs w:val="20"/>
      <w:u w:val="none"/>
    </w:rPr>
  </w:style>
  <w:style w:type="character" w:customStyle="1" w:styleId="CV13CharacterStyle5">
    <w:name w:val="CV13CharacterStyle5"/>
    <w:hidden/>
    <w:rsid w:val="00192126"/>
    <w:rPr>
      <w:rFonts w:ascii="Times New Roman" w:eastAsia="Times New Roman" w:hAnsi="Times New Roman" w:cs="Times New Roman"/>
      <w:b w:val="0"/>
      <w:i w:val="0"/>
      <w:strike w:val="0"/>
      <w:noProof/>
      <w:color w:val="000000"/>
      <w:sz w:val="20"/>
      <w:szCs w:val="20"/>
      <w:u w:val="none"/>
    </w:rPr>
  </w:style>
  <w:style w:type="character" w:customStyle="1" w:styleId="CV13CharacterStyle6">
    <w:name w:val="CV13CharacterStyle6"/>
    <w:hidden/>
    <w:rsid w:val="00192126"/>
    <w:rPr>
      <w:rFonts w:ascii="Times New Roman" w:eastAsia="Times New Roman" w:hAnsi="Times New Roman" w:cs="Times New Roman"/>
      <w:b w:val="0"/>
      <w:i w:val="0"/>
      <w:strike w:val="0"/>
      <w:noProof/>
      <w:color w:val="000000"/>
      <w:sz w:val="20"/>
      <w:szCs w:val="20"/>
      <w:u w:val="none"/>
    </w:rPr>
  </w:style>
  <w:style w:type="character" w:customStyle="1" w:styleId="CV13CharacterStyle7">
    <w:name w:val="CV13CharacterStyle7"/>
    <w:hidden/>
    <w:rsid w:val="00192126"/>
    <w:rPr>
      <w:rFonts w:ascii="Times New Roman" w:eastAsia="Times New Roman" w:hAnsi="Times New Roman" w:cs="Times New Roman"/>
      <w:b/>
      <w:i w:val="0"/>
      <w:strike w:val="0"/>
      <w:noProof/>
      <w:color w:val="000000"/>
      <w:sz w:val="20"/>
      <w:szCs w:val="20"/>
      <w:u w:val="none"/>
    </w:rPr>
  </w:style>
  <w:style w:type="character" w:customStyle="1" w:styleId="CV13CharacterStyle8">
    <w:name w:val="CV13CharacterStyle8"/>
    <w:hidden/>
    <w:rsid w:val="00192126"/>
    <w:rPr>
      <w:rFonts w:ascii="Times New Roman" w:eastAsia="Times New Roman" w:hAnsi="Times New Roman" w:cs="Times New Roman"/>
      <w:b/>
      <w:i w:val="0"/>
      <w:strike w:val="0"/>
      <w:noProof/>
      <w:color w:val="000000"/>
      <w:sz w:val="20"/>
      <w:szCs w:val="20"/>
      <w:u w:val="none"/>
    </w:rPr>
  </w:style>
  <w:style w:type="character" w:customStyle="1" w:styleId="CV13CharacterStyle9">
    <w:name w:val="CV13CharacterStyle9"/>
    <w:hidden/>
    <w:rsid w:val="00192126"/>
    <w:rPr>
      <w:rFonts w:ascii="Times New Roman" w:eastAsia="Times New Roman" w:hAnsi="Times New Roman" w:cs="Times New Roman"/>
      <w:b w:val="0"/>
      <w:i w:val="0"/>
      <w:strike w:val="0"/>
      <w:noProof/>
      <w:color w:val="FFFFFF"/>
      <w:sz w:val="10"/>
      <w:szCs w:val="10"/>
      <w:u w:val="none"/>
    </w:rPr>
  </w:style>
  <w:style w:type="character" w:customStyle="1" w:styleId="CV13CharacterStyle10">
    <w:name w:val="CV13CharacterStyle10"/>
    <w:hidden/>
    <w:rsid w:val="00192126"/>
    <w:rPr>
      <w:rFonts w:ascii="Times New Roman" w:eastAsia="Times New Roman" w:hAnsi="Times New Roman" w:cs="Times New Roman"/>
      <w:b w:val="0"/>
      <w:i w:val="0"/>
      <w:strike w:val="0"/>
      <w:noProof/>
      <w:color w:val="FFFFFF"/>
      <w:sz w:val="10"/>
      <w:szCs w:val="10"/>
      <w:u w:val="none"/>
    </w:rPr>
  </w:style>
  <w:style w:type="paragraph" w:customStyle="1" w:styleId="CV14ParagraphStyle3">
    <w:name w:val="CV14ParagraphStyle3"/>
    <w:hidden/>
    <w:rsid w:val="00192126"/>
    <w:pPr>
      <w:spacing w:after="0" w:line="240" w:lineRule="auto"/>
      <w:ind w:left="28" w:right="28"/>
      <w:jc w:val="center"/>
    </w:pPr>
    <w:rPr>
      <w:rFonts w:ascii="Times New Roman" w:hAnsi="Times New Roman" w:cs="Times New Roman"/>
    </w:rPr>
  </w:style>
  <w:style w:type="paragraph" w:customStyle="1" w:styleId="CV14ParagraphStyle4">
    <w:name w:val="CV14ParagraphStyle4"/>
    <w:hidden/>
    <w:rsid w:val="00192126"/>
    <w:pPr>
      <w:spacing w:after="0" w:line="240" w:lineRule="auto"/>
    </w:pPr>
    <w:rPr>
      <w:rFonts w:ascii="Times New Roman" w:hAnsi="Times New Roman" w:cs="Times New Roman"/>
    </w:rPr>
  </w:style>
  <w:style w:type="paragraph" w:customStyle="1" w:styleId="CV14ParagraphStyle5">
    <w:name w:val="CV14ParagraphStyle5"/>
    <w:hidden/>
    <w:rsid w:val="00192126"/>
    <w:pPr>
      <w:spacing w:after="0" w:line="240" w:lineRule="auto"/>
      <w:ind w:left="28" w:right="28"/>
    </w:pPr>
    <w:rPr>
      <w:rFonts w:ascii="Times New Roman" w:hAnsi="Times New Roman" w:cs="Times New Roman"/>
    </w:rPr>
  </w:style>
  <w:style w:type="paragraph" w:customStyle="1" w:styleId="CV14ParagraphStyle6">
    <w:name w:val="CV14ParagraphStyle6"/>
    <w:hidden/>
    <w:rsid w:val="00192126"/>
    <w:pPr>
      <w:spacing w:after="0" w:line="240" w:lineRule="auto"/>
      <w:ind w:left="28" w:right="28"/>
      <w:jc w:val="right"/>
    </w:pPr>
    <w:rPr>
      <w:rFonts w:ascii="Times New Roman" w:hAnsi="Times New Roman" w:cs="Times New Roman"/>
    </w:rPr>
  </w:style>
  <w:style w:type="paragraph" w:customStyle="1" w:styleId="CV14ParagraphStyle7">
    <w:name w:val="CV14ParagraphStyle7"/>
    <w:hidden/>
    <w:rsid w:val="00192126"/>
    <w:pPr>
      <w:spacing w:after="0" w:line="240" w:lineRule="auto"/>
      <w:ind w:left="28" w:right="28"/>
    </w:pPr>
    <w:rPr>
      <w:rFonts w:ascii="Times New Roman" w:hAnsi="Times New Roman" w:cs="Times New Roman"/>
    </w:rPr>
  </w:style>
  <w:style w:type="paragraph" w:customStyle="1" w:styleId="CV14ParagraphStyle8">
    <w:name w:val="CV14ParagraphStyle8"/>
    <w:hidden/>
    <w:rsid w:val="00192126"/>
    <w:pPr>
      <w:spacing w:after="0" w:line="240" w:lineRule="auto"/>
      <w:ind w:left="28" w:right="28"/>
      <w:jc w:val="right"/>
    </w:pPr>
    <w:rPr>
      <w:rFonts w:ascii="Times New Roman" w:hAnsi="Times New Roman" w:cs="Times New Roman"/>
    </w:rPr>
  </w:style>
  <w:style w:type="character" w:customStyle="1" w:styleId="CV14FakeCharacterStyle">
    <w:name w:val="CV14FakeCharacterStyle"/>
    <w:hidden/>
    <w:rsid w:val="00192126"/>
    <w:rPr>
      <w:sz w:val="1"/>
      <w:szCs w:val="1"/>
    </w:rPr>
  </w:style>
  <w:style w:type="character" w:customStyle="1" w:styleId="CV14CharacterStyle3">
    <w:name w:val="CV14CharacterStyle3"/>
    <w:hidden/>
    <w:rsid w:val="00192126"/>
    <w:rPr>
      <w:rFonts w:ascii="Times New Roman" w:eastAsia="Times New Roman" w:hAnsi="Times New Roman" w:cs="Times New Roman"/>
      <w:b/>
      <w:i w:val="0"/>
      <w:strike w:val="0"/>
      <w:noProof/>
      <w:color w:val="000000"/>
      <w:sz w:val="20"/>
      <w:szCs w:val="20"/>
      <w:u w:val="none"/>
    </w:rPr>
  </w:style>
  <w:style w:type="character" w:customStyle="1" w:styleId="CV14CharacterStyle4">
    <w:name w:val="CV14CharacterStyle4"/>
    <w:hidden/>
    <w:rsid w:val="00192126"/>
    <w:rPr>
      <w:rFonts w:ascii="Times New Roman" w:eastAsia="Times New Roman" w:hAnsi="Times New Roman" w:cs="Times New Roman"/>
      <w:b w:val="0"/>
      <w:i w:val="0"/>
      <w:strike w:val="0"/>
      <w:noProof/>
      <w:color w:val="000000"/>
      <w:sz w:val="20"/>
      <w:szCs w:val="20"/>
      <w:u w:val="none"/>
    </w:rPr>
  </w:style>
  <w:style w:type="character" w:customStyle="1" w:styleId="CV14CharacterStyle5">
    <w:name w:val="CV14CharacterStyle5"/>
    <w:hidden/>
    <w:rsid w:val="00192126"/>
    <w:rPr>
      <w:rFonts w:ascii="Times New Roman" w:eastAsia="Times New Roman" w:hAnsi="Times New Roman" w:cs="Times New Roman"/>
      <w:b w:val="0"/>
      <w:i w:val="0"/>
      <w:strike w:val="0"/>
      <w:noProof/>
      <w:color w:val="000000"/>
      <w:sz w:val="20"/>
      <w:szCs w:val="20"/>
      <w:u w:val="none"/>
    </w:rPr>
  </w:style>
  <w:style w:type="character" w:customStyle="1" w:styleId="CV14CharacterStyle6">
    <w:name w:val="CV14CharacterStyle6"/>
    <w:hidden/>
    <w:rsid w:val="00192126"/>
    <w:rPr>
      <w:rFonts w:ascii="Times New Roman" w:eastAsia="Times New Roman" w:hAnsi="Times New Roman" w:cs="Times New Roman"/>
      <w:b/>
      <w:i w:val="0"/>
      <w:strike w:val="0"/>
      <w:noProof/>
      <w:color w:val="000000"/>
      <w:sz w:val="20"/>
      <w:szCs w:val="20"/>
      <w:u w:val="none"/>
    </w:rPr>
  </w:style>
  <w:style w:type="character" w:customStyle="1" w:styleId="CV14CharacterStyle7">
    <w:name w:val="CV14CharacterStyle7"/>
    <w:hidden/>
    <w:rsid w:val="00192126"/>
    <w:rPr>
      <w:rFonts w:ascii="Times New Roman" w:eastAsia="Times New Roman" w:hAnsi="Times New Roman" w:cs="Times New Roman"/>
      <w:b/>
      <w:i w:val="0"/>
      <w:strike w:val="0"/>
      <w:noProof/>
      <w:color w:val="000000"/>
      <w:sz w:val="20"/>
      <w:szCs w:val="20"/>
      <w:u w:val="none"/>
    </w:rPr>
  </w:style>
  <w:style w:type="paragraph" w:customStyle="1" w:styleId="CV15ParagraphStyle2">
    <w:name w:val="CV15ParagraphStyle2"/>
    <w:hidden/>
    <w:rsid w:val="00A27C83"/>
    <w:pPr>
      <w:spacing w:after="0" w:line="240" w:lineRule="auto"/>
      <w:ind w:left="28" w:right="28"/>
      <w:jc w:val="center"/>
    </w:pPr>
    <w:rPr>
      <w:rFonts w:ascii="Times New Roman" w:hAnsi="Times New Roman" w:cs="Times New Roman"/>
    </w:rPr>
  </w:style>
  <w:style w:type="paragraph" w:customStyle="1" w:styleId="CV15ParagraphStyle3">
    <w:name w:val="CV15ParagraphStyle3"/>
    <w:hidden/>
    <w:rsid w:val="00A27C83"/>
    <w:pPr>
      <w:spacing w:after="0" w:line="240" w:lineRule="auto"/>
    </w:pPr>
    <w:rPr>
      <w:rFonts w:ascii="Times New Roman" w:hAnsi="Times New Roman" w:cs="Times New Roman"/>
    </w:rPr>
  </w:style>
  <w:style w:type="paragraph" w:customStyle="1" w:styleId="CV15ParagraphStyle4">
    <w:name w:val="CV15ParagraphStyle4"/>
    <w:hidden/>
    <w:rsid w:val="00A27C83"/>
    <w:pPr>
      <w:spacing w:after="0" w:line="240" w:lineRule="auto"/>
      <w:ind w:left="28" w:right="28"/>
    </w:pPr>
    <w:rPr>
      <w:rFonts w:ascii="Times New Roman" w:hAnsi="Times New Roman" w:cs="Times New Roman"/>
    </w:rPr>
  </w:style>
  <w:style w:type="paragraph" w:customStyle="1" w:styleId="CV15ParagraphStyle5">
    <w:name w:val="CV15ParagraphStyle5"/>
    <w:hidden/>
    <w:rsid w:val="00A27C83"/>
    <w:pPr>
      <w:spacing w:after="0" w:line="240" w:lineRule="auto"/>
      <w:ind w:left="28" w:right="28"/>
      <w:jc w:val="right"/>
    </w:pPr>
    <w:rPr>
      <w:rFonts w:ascii="Times New Roman" w:hAnsi="Times New Roman" w:cs="Times New Roman"/>
    </w:rPr>
  </w:style>
  <w:style w:type="paragraph" w:customStyle="1" w:styleId="CV15ParagraphStyle6">
    <w:name w:val="CV15ParagraphStyle6"/>
    <w:hidden/>
    <w:rsid w:val="00A27C83"/>
    <w:pPr>
      <w:spacing w:after="0" w:line="240" w:lineRule="auto"/>
    </w:pPr>
    <w:rPr>
      <w:rFonts w:ascii="Times New Roman" w:hAnsi="Times New Roman" w:cs="Times New Roman"/>
    </w:rPr>
  </w:style>
  <w:style w:type="paragraph" w:customStyle="1" w:styleId="CV15ParagraphStyle7">
    <w:name w:val="CV15ParagraphStyle7"/>
    <w:hidden/>
    <w:rsid w:val="00A27C83"/>
    <w:pPr>
      <w:spacing w:after="0" w:line="240" w:lineRule="auto"/>
      <w:ind w:left="28" w:right="28"/>
    </w:pPr>
    <w:rPr>
      <w:rFonts w:ascii="Times New Roman" w:hAnsi="Times New Roman" w:cs="Times New Roman"/>
    </w:rPr>
  </w:style>
  <w:style w:type="paragraph" w:customStyle="1" w:styleId="CV15ParagraphStyle8">
    <w:name w:val="CV15ParagraphStyle8"/>
    <w:hidden/>
    <w:rsid w:val="00A27C83"/>
    <w:pPr>
      <w:spacing w:after="0" w:line="240" w:lineRule="auto"/>
      <w:ind w:left="28" w:right="28"/>
      <w:jc w:val="right"/>
    </w:pPr>
    <w:rPr>
      <w:rFonts w:ascii="Times New Roman" w:hAnsi="Times New Roman" w:cs="Times New Roman"/>
    </w:rPr>
  </w:style>
  <w:style w:type="paragraph" w:customStyle="1" w:styleId="CV15ParagraphStyle9">
    <w:name w:val="CV15ParagraphStyle9"/>
    <w:hidden/>
    <w:rsid w:val="00A27C83"/>
    <w:pPr>
      <w:spacing w:after="0" w:line="240" w:lineRule="auto"/>
      <w:ind w:left="28" w:right="28"/>
      <w:jc w:val="right"/>
    </w:pPr>
    <w:rPr>
      <w:rFonts w:ascii="Times New Roman" w:hAnsi="Times New Roman" w:cs="Times New Roman"/>
    </w:rPr>
  </w:style>
  <w:style w:type="paragraph" w:customStyle="1" w:styleId="CV15ParagraphStyle10">
    <w:name w:val="CV15ParagraphStyle10"/>
    <w:hidden/>
    <w:rsid w:val="00A27C83"/>
    <w:pPr>
      <w:spacing w:after="0" w:line="240" w:lineRule="auto"/>
      <w:ind w:left="144" w:right="28"/>
    </w:pPr>
    <w:rPr>
      <w:rFonts w:ascii="Times New Roman" w:hAnsi="Times New Roman" w:cs="Times New Roman"/>
    </w:rPr>
  </w:style>
  <w:style w:type="paragraph" w:customStyle="1" w:styleId="CV15ParagraphStyle11">
    <w:name w:val="CV15ParagraphStyle11"/>
    <w:hidden/>
    <w:rsid w:val="00A27C83"/>
    <w:pPr>
      <w:spacing w:after="0" w:line="240" w:lineRule="auto"/>
      <w:ind w:left="28" w:right="28"/>
      <w:jc w:val="right"/>
    </w:pPr>
    <w:rPr>
      <w:rFonts w:ascii="Times New Roman" w:hAnsi="Times New Roman" w:cs="Times New Roman"/>
    </w:rPr>
  </w:style>
  <w:style w:type="paragraph" w:customStyle="1" w:styleId="CV15ParagraphStyle12">
    <w:name w:val="CV15ParagraphStyle12"/>
    <w:hidden/>
    <w:rsid w:val="00A27C83"/>
    <w:pPr>
      <w:spacing w:after="0" w:line="240" w:lineRule="auto"/>
      <w:ind w:left="144" w:right="28"/>
    </w:pPr>
    <w:rPr>
      <w:rFonts w:ascii="Times New Roman" w:hAnsi="Times New Roman" w:cs="Times New Roman"/>
    </w:rPr>
  </w:style>
  <w:style w:type="paragraph" w:customStyle="1" w:styleId="CV15ParagraphStyle13">
    <w:name w:val="CV15ParagraphStyle13"/>
    <w:hidden/>
    <w:rsid w:val="00A27C83"/>
    <w:pPr>
      <w:spacing w:after="0" w:line="240" w:lineRule="auto"/>
      <w:ind w:left="28" w:right="28"/>
    </w:pPr>
    <w:rPr>
      <w:rFonts w:ascii="Times New Roman" w:hAnsi="Times New Roman" w:cs="Times New Roman"/>
    </w:rPr>
  </w:style>
  <w:style w:type="paragraph" w:customStyle="1" w:styleId="CV15ParagraphStyle14">
    <w:name w:val="CV15ParagraphStyle14"/>
    <w:hidden/>
    <w:rsid w:val="00A27C83"/>
    <w:pPr>
      <w:spacing w:before="244" w:after="0" w:line="240" w:lineRule="auto"/>
      <w:ind w:left="28" w:right="28"/>
      <w:jc w:val="right"/>
    </w:pPr>
    <w:rPr>
      <w:rFonts w:ascii="Times New Roman" w:hAnsi="Times New Roman" w:cs="Times New Roman"/>
    </w:rPr>
  </w:style>
  <w:style w:type="paragraph" w:customStyle="1" w:styleId="CV15ParagraphStyle15">
    <w:name w:val="CV15ParagraphStyle15"/>
    <w:hidden/>
    <w:rsid w:val="00A27C83"/>
    <w:pPr>
      <w:spacing w:before="244" w:after="0" w:line="240" w:lineRule="auto"/>
      <w:ind w:left="28" w:right="28"/>
      <w:jc w:val="right"/>
    </w:pPr>
    <w:rPr>
      <w:rFonts w:ascii="Times New Roman" w:hAnsi="Times New Roman" w:cs="Times New Roman"/>
    </w:rPr>
  </w:style>
  <w:style w:type="paragraph" w:customStyle="1" w:styleId="CV15ParagraphStyle16">
    <w:name w:val="CV15ParagraphStyle16"/>
    <w:hidden/>
    <w:rsid w:val="00A27C83"/>
    <w:pPr>
      <w:spacing w:after="0" w:line="240" w:lineRule="auto"/>
      <w:ind w:left="28" w:right="28"/>
      <w:jc w:val="right"/>
    </w:pPr>
    <w:rPr>
      <w:rFonts w:ascii="Times New Roman" w:hAnsi="Times New Roman" w:cs="Times New Roman"/>
    </w:rPr>
  </w:style>
  <w:style w:type="paragraph" w:customStyle="1" w:styleId="CV15ParagraphStyle17">
    <w:name w:val="CV15ParagraphStyle17"/>
    <w:hidden/>
    <w:rsid w:val="00A27C83"/>
    <w:pPr>
      <w:spacing w:after="0" w:line="240" w:lineRule="auto"/>
      <w:ind w:left="28" w:right="28"/>
      <w:jc w:val="right"/>
    </w:pPr>
    <w:rPr>
      <w:rFonts w:ascii="Times New Roman" w:hAnsi="Times New Roman" w:cs="Times New Roman"/>
    </w:rPr>
  </w:style>
  <w:style w:type="character" w:customStyle="1" w:styleId="CV15FakeCharacterStyle">
    <w:name w:val="CV15FakeCharacterStyle"/>
    <w:hidden/>
    <w:rsid w:val="00A27C83"/>
    <w:rPr>
      <w:sz w:val="1"/>
      <w:szCs w:val="1"/>
    </w:rPr>
  </w:style>
  <w:style w:type="character" w:customStyle="1" w:styleId="CV15CharacterStyle2">
    <w:name w:val="CV15CharacterStyle2"/>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3">
    <w:name w:val="CV15CharacterStyle3"/>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4">
    <w:name w:val="CV15CharacterStyle4"/>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5">
    <w:name w:val="CV15CharacterStyle5"/>
    <w:hidden/>
    <w:rsid w:val="00A27C83"/>
    <w:rPr>
      <w:rFonts w:ascii="Times New Roman" w:eastAsia="Times New Roman" w:hAnsi="Times New Roman" w:cs="Times New Roman"/>
      <w:b w:val="0"/>
      <w:i w:val="0"/>
      <w:strike w:val="0"/>
      <w:noProof/>
      <w:color w:val="FFFFFF"/>
      <w:sz w:val="10"/>
      <w:szCs w:val="10"/>
      <w:u w:val="none"/>
    </w:rPr>
  </w:style>
  <w:style w:type="character" w:customStyle="1" w:styleId="CV15CharacterStyle6">
    <w:name w:val="CV15CharacterStyle6"/>
    <w:hidden/>
    <w:rsid w:val="00A27C83"/>
    <w:rPr>
      <w:rFonts w:ascii="Times New Roman" w:eastAsia="Times New Roman" w:hAnsi="Times New Roman" w:cs="Times New Roman"/>
      <w:b w:val="0"/>
      <w:i w:val="0"/>
      <w:strike w:val="0"/>
      <w:noProof/>
      <w:color w:val="FFFFFF"/>
      <w:sz w:val="10"/>
      <w:szCs w:val="10"/>
      <w:u w:val="none"/>
    </w:rPr>
  </w:style>
  <w:style w:type="character" w:customStyle="1" w:styleId="CV15CharacterStyle7">
    <w:name w:val="CV15CharacterStyle7"/>
    <w:hidden/>
    <w:rsid w:val="00A27C83"/>
    <w:rPr>
      <w:rFonts w:ascii="Times New Roman" w:eastAsia="Times New Roman" w:hAnsi="Times New Roman" w:cs="Times New Roman"/>
      <w:b w:val="0"/>
      <w:i w:val="0"/>
      <w:strike w:val="0"/>
      <w:noProof/>
      <w:color w:val="FFFFFF"/>
      <w:sz w:val="20"/>
      <w:szCs w:val="20"/>
      <w:u w:val="none"/>
    </w:rPr>
  </w:style>
  <w:style w:type="character" w:customStyle="1" w:styleId="CV15CharacterStyle8">
    <w:name w:val="CV15CharacterStyle8"/>
    <w:hidden/>
    <w:rsid w:val="00A27C83"/>
    <w:rPr>
      <w:rFonts w:ascii="Times New Roman" w:eastAsia="Times New Roman" w:hAnsi="Times New Roman" w:cs="Times New Roman"/>
      <w:b w:val="0"/>
      <w:i w:val="0"/>
      <w:strike w:val="0"/>
      <w:noProof/>
      <w:color w:val="000000"/>
      <w:sz w:val="20"/>
      <w:szCs w:val="20"/>
      <w:u w:val="none"/>
    </w:rPr>
  </w:style>
  <w:style w:type="character" w:customStyle="1" w:styleId="CV15CharacterStyle9">
    <w:name w:val="CV15CharacterStyle9"/>
    <w:hidden/>
    <w:rsid w:val="00A27C83"/>
    <w:rPr>
      <w:rFonts w:ascii="Times New Roman" w:eastAsia="Times New Roman" w:hAnsi="Times New Roman" w:cs="Times New Roman"/>
      <w:b w:val="0"/>
      <w:i w:val="0"/>
      <w:strike w:val="0"/>
      <w:noProof/>
      <w:color w:val="000000"/>
      <w:sz w:val="20"/>
      <w:szCs w:val="20"/>
      <w:u w:val="none"/>
    </w:rPr>
  </w:style>
  <w:style w:type="character" w:customStyle="1" w:styleId="CV15CharacterStyle10">
    <w:name w:val="CV15CharacterStyle10"/>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11">
    <w:name w:val="CV15CharacterStyle11"/>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12">
    <w:name w:val="CV15CharacterStyle12"/>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13">
    <w:name w:val="CV15CharacterStyle13"/>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14">
    <w:name w:val="CV15CharacterStyle14"/>
    <w:hidden/>
    <w:rsid w:val="00A27C83"/>
    <w:rPr>
      <w:rFonts w:ascii="Times New Roman" w:eastAsia="Times New Roman" w:hAnsi="Times New Roman" w:cs="Times New Roman"/>
      <w:b/>
      <w:i w:val="0"/>
      <w:strike w:val="0"/>
      <w:noProof/>
      <w:color w:val="000000"/>
      <w:sz w:val="20"/>
      <w:szCs w:val="20"/>
      <w:u w:val="none"/>
    </w:rPr>
  </w:style>
  <w:style w:type="character" w:customStyle="1" w:styleId="CV15CharacterStyle15">
    <w:name w:val="CV15CharacterStyle15"/>
    <w:hidden/>
    <w:rsid w:val="00A27C83"/>
    <w:rPr>
      <w:rFonts w:ascii="Times New Roman" w:eastAsia="Times New Roman" w:hAnsi="Times New Roman" w:cs="Times New Roman"/>
      <w:b/>
      <w:i w:val="0"/>
      <w:strike w:val="0"/>
      <w:noProof/>
      <w:color w:val="CAD9F4"/>
      <w:sz w:val="20"/>
      <w:szCs w:val="20"/>
      <w:u w:val="none"/>
    </w:rPr>
  </w:style>
  <w:style w:type="paragraph" w:customStyle="1" w:styleId="CV16ParagraphStyle2">
    <w:name w:val="CV16ParagraphStyle2"/>
    <w:hidden/>
    <w:rsid w:val="00A27C83"/>
    <w:pPr>
      <w:spacing w:after="0" w:line="240" w:lineRule="auto"/>
      <w:ind w:left="28" w:right="28"/>
      <w:jc w:val="center"/>
    </w:pPr>
    <w:rPr>
      <w:rFonts w:ascii="Times New Roman" w:hAnsi="Times New Roman" w:cs="Times New Roman"/>
    </w:rPr>
  </w:style>
  <w:style w:type="paragraph" w:customStyle="1" w:styleId="CV16ParagraphStyle3">
    <w:name w:val="CV16ParagraphStyle3"/>
    <w:hidden/>
    <w:rsid w:val="00A27C83"/>
    <w:pPr>
      <w:spacing w:after="0" w:line="240" w:lineRule="auto"/>
    </w:pPr>
    <w:rPr>
      <w:rFonts w:ascii="Times New Roman" w:hAnsi="Times New Roman" w:cs="Times New Roman"/>
    </w:rPr>
  </w:style>
  <w:style w:type="paragraph" w:customStyle="1" w:styleId="CV16ParagraphStyle4">
    <w:name w:val="CV16ParagraphStyle4"/>
    <w:hidden/>
    <w:rsid w:val="00A27C83"/>
    <w:pPr>
      <w:spacing w:after="0" w:line="240" w:lineRule="auto"/>
      <w:ind w:left="28" w:right="28"/>
    </w:pPr>
    <w:rPr>
      <w:rFonts w:ascii="Times New Roman" w:hAnsi="Times New Roman" w:cs="Times New Roman"/>
    </w:rPr>
  </w:style>
  <w:style w:type="paragraph" w:customStyle="1" w:styleId="CV16ParagraphStyle5">
    <w:name w:val="CV16ParagraphStyle5"/>
    <w:hidden/>
    <w:rsid w:val="00A27C83"/>
    <w:pPr>
      <w:spacing w:after="0" w:line="240" w:lineRule="auto"/>
      <w:ind w:left="28" w:right="28"/>
      <w:jc w:val="right"/>
    </w:pPr>
    <w:rPr>
      <w:rFonts w:ascii="Times New Roman" w:hAnsi="Times New Roman" w:cs="Times New Roman"/>
    </w:rPr>
  </w:style>
  <w:style w:type="paragraph" w:customStyle="1" w:styleId="CV16ParagraphStyle6">
    <w:name w:val="CV16ParagraphStyle6"/>
    <w:hidden/>
    <w:rsid w:val="00A27C83"/>
    <w:pPr>
      <w:spacing w:after="0" w:line="240" w:lineRule="auto"/>
    </w:pPr>
    <w:rPr>
      <w:rFonts w:ascii="Times New Roman" w:hAnsi="Times New Roman" w:cs="Times New Roman"/>
    </w:rPr>
  </w:style>
  <w:style w:type="paragraph" w:customStyle="1" w:styleId="CV16ParagraphStyle7">
    <w:name w:val="CV16ParagraphStyle7"/>
    <w:hidden/>
    <w:rsid w:val="00A27C83"/>
    <w:pPr>
      <w:spacing w:after="0" w:line="240" w:lineRule="auto"/>
      <w:ind w:left="28" w:right="28"/>
    </w:pPr>
    <w:rPr>
      <w:rFonts w:ascii="Times New Roman" w:hAnsi="Times New Roman" w:cs="Times New Roman"/>
    </w:rPr>
  </w:style>
  <w:style w:type="paragraph" w:customStyle="1" w:styleId="CV16ParagraphStyle8">
    <w:name w:val="CV16ParagraphStyle8"/>
    <w:hidden/>
    <w:rsid w:val="00A27C83"/>
    <w:pPr>
      <w:spacing w:after="0" w:line="240" w:lineRule="auto"/>
      <w:ind w:left="28" w:right="28"/>
      <w:jc w:val="right"/>
    </w:pPr>
    <w:rPr>
      <w:rFonts w:ascii="Times New Roman" w:hAnsi="Times New Roman" w:cs="Times New Roman"/>
    </w:rPr>
  </w:style>
  <w:style w:type="paragraph" w:customStyle="1" w:styleId="CV16ParagraphStyle9">
    <w:name w:val="CV16ParagraphStyle9"/>
    <w:hidden/>
    <w:rsid w:val="00A27C83"/>
    <w:pPr>
      <w:spacing w:after="0" w:line="240" w:lineRule="auto"/>
      <w:ind w:left="28" w:right="28"/>
      <w:jc w:val="right"/>
    </w:pPr>
    <w:rPr>
      <w:rFonts w:ascii="Times New Roman" w:hAnsi="Times New Roman" w:cs="Times New Roman"/>
    </w:rPr>
  </w:style>
  <w:style w:type="paragraph" w:customStyle="1" w:styleId="CV16ParagraphStyle10">
    <w:name w:val="CV16ParagraphStyle10"/>
    <w:hidden/>
    <w:rsid w:val="00A27C83"/>
    <w:pPr>
      <w:spacing w:after="0" w:line="240" w:lineRule="auto"/>
      <w:ind w:left="144" w:right="28"/>
    </w:pPr>
    <w:rPr>
      <w:rFonts w:ascii="Times New Roman" w:hAnsi="Times New Roman" w:cs="Times New Roman"/>
    </w:rPr>
  </w:style>
  <w:style w:type="paragraph" w:customStyle="1" w:styleId="CV16ParagraphStyle11">
    <w:name w:val="CV16ParagraphStyle11"/>
    <w:hidden/>
    <w:rsid w:val="00A27C83"/>
    <w:pPr>
      <w:spacing w:after="0" w:line="240" w:lineRule="auto"/>
      <w:ind w:left="28" w:right="28"/>
      <w:jc w:val="right"/>
    </w:pPr>
    <w:rPr>
      <w:rFonts w:ascii="Times New Roman" w:hAnsi="Times New Roman" w:cs="Times New Roman"/>
    </w:rPr>
  </w:style>
  <w:style w:type="paragraph" w:customStyle="1" w:styleId="CV16ParagraphStyle12">
    <w:name w:val="CV16ParagraphStyle12"/>
    <w:hidden/>
    <w:rsid w:val="00A27C83"/>
    <w:pPr>
      <w:spacing w:after="0" w:line="240" w:lineRule="auto"/>
      <w:ind w:left="144" w:right="28"/>
    </w:pPr>
    <w:rPr>
      <w:rFonts w:ascii="Times New Roman" w:hAnsi="Times New Roman" w:cs="Times New Roman"/>
    </w:rPr>
  </w:style>
  <w:style w:type="paragraph" w:customStyle="1" w:styleId="CV16ParagraphStyle13">
    <w:name w:val="CV16ParagraphStyle13"/>
    <w:hidden/>
    <w:rsid w:val="00A27C83"/>
    <w:pPr>
      <w:spacing w:after="0" w:line="240" w:lineRule="auto"/>
      <w:ind w:left="28" w:right="28"/>
    </w:pPr>
    <w:rPr>
      <w:rFonts w:ascii="Times New Roman" w:hAnsi="Times New Roman" w:cs="Times New Roman"/>
    </w:rPr>
  </w:style>
  <w:style w:type="paragraph" w:customStyle="1" w:styleId="CV16ParagraphStyle14">
    <w:name w:val="CV16ParagraphStyle14"/>
    <w:hidden/>
    <w:rsid w:val="00A27C83"/>
    <w:pPr>
      <w:spacing w:before="244" w:after="0" w:line="240" w:lineRule="auto"/>
      <w:ind w:left="28" w:right="28"/>
      <w:jc w:val="right"/>
    </w:pPr>
    <w:rPr>
      <w:rFonts w:ascii="Times New Roman" w:hAnsi="Times New Roman" w:cs="Times New Roman"/>
    </w:rPr>
  </w:style>
  <w:style w:type="paragraph" w:customStyle="1" w:styleId="CV16ParagraphStyle15">
    <w:name w:val="CV16ParagraphStyle15"/>
    <w:hidden/>
    <w:rsid w:val="00A27C83"/>
    <w:pPr>
      <w:spacing w:after="0" w:line="240" w:lineRule="auto"/>
      <w:ind w:left="28" w:right="28"/>
      <w:jc w:val="right"/>
    </w:pPr>
    <w:rPr>
      <w:rFonts w:ascii="Times New Roman" w:hAnsi="Times New Roman" w:cs="Times New Roman"/>
    </w:rPr>
  </w:style>
  <w:style w:type="character" w:customStyle="1" w:styleId="CV16FakeCharacterStyle">
    <w:name w:val="CV16FakeCharacterStyle"/>
    <w:hidden/>
    <w:rsid w:val="00A27C83"/>
    <w:rPr>
      <w:sz w:val="1"/>
      <w:szCs w:val="1"/>
    </w:rPr>
  </w:style>
  <w:style w:type="character" w:customStyle="1" w:styleId="CV16CharacterStyle2">
    <w:name w:val="CV16CharacterStyle2"/>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3">
    <w:name w:val="CV16CharacterStyle3"/>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4">
    <w:name w:val="CV16CharacterStyle4"/>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5">
    <w:name w:val="CV16CharacterStyle5"/>
    <w:hidden/>
    <w:rsid w:val="00A27C83"/>
    <w:rPr>
      <w:rFonts w:ascii="Times New Roman" w:eastAsia="Times New Roman" w:hAnsi="Times New Roman" w:cs="Times New Roman"/>
      <w:b w:val="0"/>
      <w:i w:val="0"/>
      <w:strike w:val="0"/>
      <w:noProof/>
      <w:color w:val="FFFFFF"/>
      <w:sz w:val="10"/>
      <w:szCs w:val="10"/>
      <w:u w:val="none"/>
    </w:rPr>
  </w:style>
  <w:style w:type="character" w:customStyle="1" w:styleId="CV16CharacterStyle6">
    <w:name w:val="CV16CharacterStyle6"/>
    <w:hidden/>
    <w:rsid w:val="00A27C83"/>
    <w:rPr>
      <w:rFonts w:ascii="Times New Roman" w:eastAsia="Times New Roman" w:hAnsi="Times New Roman" w:cs="Times New Roman"/>
      <w:b w:val="0"/>
      <w:i w:val="0"/>
      <w:strike w:val="0"/>
      <w:noProof/>
      <w:color w:val="FFFFFF"/>
      <w:sz w:val="10"/>
      <w:szCs w:val="10"/>
      <w:u w:val="none"/>
    </w:rPr>
  </w:style>
  <w:style w:type="character" w:customStyle="1" w:styleId="CV16CharacterStyle7">
    <w:name w:val="CV16CharacterStyle7"/>
    <w:hidden/>
    <w:rsid w:val="00A27C83"/>
    <w:rPr>
      <w:rFonts w:ascii="Times New Roman" w:eastAsia="Times New Roman" w:hAnsi="Times New Roman" w:cs="Times New Roman"/>
      <w:b w:val="0"/>
      <w:i w:val="0"/>
      <w:strike w:val="0"/>
      <w:noProof/>
      <w:color w:val="FFFFFF"/>
      <w:sz w:val="20"/>
      <w:szCs w:val="20"/>
      <w:u w:val="none"/>
    </w:rPr>
  </w:style>
  <w:style w:type="character" w:customStyle="1" w:styleId="CV16CharacterStyle8">
    <w:name w:val="CV16CharacterStyle8"/>
    <w:hidden/>
    <w:rsid w:val="00A27C83"/>
    <w:rPr>
      <w:rFonts w:ascii="Times New Roman" w:eastAsia="Times New Roman" w:hAnsi="Times New Roman" w:cs="Times New Roman"/>
      <w:b w:val="0"/>
      <w:i w:val="0"/>
      <w:strike w:val="0"/>
      <w:noProof/>
      <w:color w:val="000000"/>
      <w:sz w:val="20"/>
      <w:szCs w:val="20"/>
      <w:u w:val="none"/>
    </w:rPr>
  </w:style>
  <w:style w:type="character" w:customStyle="1" w:styleId="CV16CharacterStyle9">
    <w:name w:val="CV16CharacterStyle9"/>
    <w:hidden/>
    <w:rsid w:val="00A27C83"/>
    <w:rPr>
      <w:rFonts w:ascii="Times New Roman" w:eastAsia="Times New Roman" w:hAnsi="Times New Roman" w:cs="Times New Roman"/>
      <w:b w:val="0"/>
      <w:i w:val="0"/>
      <w:strike w:val="0"/>
      <w:noProof/>
      <w:color w:val="000000"/>
      <w:sz w:val="20"/>
      <w:szCs w:val="20"/>
      <w:u w:val="none"/>
    </w:rPr>
  </w:style>
  <w:style w:type="character" w:customStyle="1" w:styleId="CV16CharacterStyle10">
    <w:name w:val="CV16CharacterStyle10"/>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11">
    <w:name w:val="CV16CharacterStyle11"/>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12">
    <w:name w:val="CV16CharacterStyle12"/>
    <w:hidden/>
    <w:rsid w:val="00A27C83"/>
    <w:rPr>
      <w:rFonts w:ascii="Times New Roman" w:eastAsia="Times New Roman" w:hAnsi="Times New Roman" w:cs="Times New Roman"/>
      <w:b/>
      <w:i w:val="0"/>
      <w:strike w:val="0"/>
      <w:noProof/>
      <w:color w:val="000000"/>
      <w:sz w:val="20"/>
      <w:szCs w:val="20"/>
      <w:u w:val="none"/>
    </w:rPr>
  </w:style>
  <w:style w:type="character" w:customStyle="1" w:styleId="CV16CharacterStyle13">
    <w:name w:val="CV16CharacterStyle13"/>
    <w:hidden/>
    <w:rsid w:val="00A27C83"/>
    <w:rPr>
      <w:rFonts w:ascii="Times New Roman" w:eastAsia="Times New Roman" w:hAnsi="Times New Roman" w:cs="Times New Roman"/>
      <w:b/>
      <w:i w:val="0"/>
      <w:strike w:val="0"/>
      <w:noProof/>
      <w:color w:val="000000"/>
      <w:sz w:val="20"/>
      <w:szCs w:val="20"/>
      <w:u w:val="none"/>
    </w:rPr>
  </w:style>
  <w:style w:type="paragraph" w:styleId="BodyText">
    <w:name w:val="Body Text"/>
    <w:basedOn w:val="Normal"/>
    <w:link w:val="BodyTextChar"/>
    <w:rsid w:val="00C42F4A"/>
    <w:pPr>
      <w:spacing w:after="120" w:line="240" w:lineRule="auto"/>
    </w:pPr>
    <w:rPr>
      <w:rFonts w:ascii="ITCCentury Book" w:eastAsia="Calibri" w:hAnsi="ITCCentury Book" w:cs="Times New Roman"/>
      <w:color w:val="000000"/>
      <w:sz w:val="24"/>
      <w:szCs w:val="24"/>
    </w:rPr>
  </w:style>
  <w:style w:type="character" w:customStyle="1" w:styleId="BodyTextChar">
    <w:name w:val="Body Text Char"/>
    <w:basedOn w:val="DefaultParagraphFont"/>
    <w:link w:val="BodyText"/>
    <w:rsid w:val="00C42F4A"/>
    <w:rPr>
      <w:rFonts w:ascii="ITCCentury Book" w:eastAsia="Calibri" w:hAnsi="ITCCentury Book" w:cs="Times New Roman"/>
      <w:color w:val="000000"/>
      <w:sz w:val="24"/>
      <w:szCs w:val="24"/>
    </w:rPr>
  </w:style>
  <w:style w:type="character" w:styleId="Emphasis">
    <w:name w:val="Emphasis"/>
    <w:basedOn w:val="DefaultParagraphFont"/>
    <w:uiPriority w:val="20"/>
    <w:qFormat/>
    <w:rsid w:val="00A7119D"/>
    <w:rPr>
      <w:i/>
      <w:iCs/>
    </w:rPr>
  </w:style>
  <w:style w:type="table" w:styleId="TableGrid">
    <w:name w:val="Table Grid"/>
    <w:basedOn w:val="TableNormal"/>
    <w:uiPriority w:val="39"/>
    <w:rsid w:val="00C92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AF7074"/>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paragraph" w:styleId="FootnoteText">
    <w:name w:val="footnote text"/>
    <w:basedOn w:val="Normal"/>
    <w:link w:val="FootnoteTextChar"/>
    <w:uiPriority w:val="99"/>
    <w:semiHidden/>
    <w:unhideWhenUsed/>
    <w:rsid w:val="00C930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9303D"/>
    <w:rPr>
      <w:sz w:val="20"/>
      <w:szCs w:val="20"/>
    </w:rPr>
  </w:style>
  <w:style w:type="character" w:styleId="FootnoteReference">
    <w:name w:val="footnote reference"/>
    <w:basedOn w:val="DefaultParagraphFont"/>
    <w:uiPriority w:val="99"/>
    <w:semiHidden/>
    <w:unhideWhenUsed/>
    <w:rsid w:val="00C9303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51792">
      <w:bodyDiv w:val="1"/>
      <w:marLeft w:val="0"/>
      <w:marRight w:val="0"/>
      <w:marTop w:val="0"/>
      <w:marBottom w:val="0"/>
      <w:divBdr>
        <w:top w:val="none" w:sz="0" w:space="0" w:color="auto"/>
        <w:left w:val="none" w:sz="0" w:space="0" w:color="auto"/>
        <w:bottom w:val="none" w:sz="0" w:space="0" w:color="auto"/>
        <w:right w:val="none" w:sz="0" w:space="0" w:color="auto"/>
      </w:divBdr>
    </w:div>
    <w:div w:id="344475510">
      <w:bodyDiv w:val="1"/>
      <w:marLeft w:val="0"/>
      <w:marRight w:val="0"/>
      <w:marTop w:val="0"/>
      <w:marBottom w:val="0"/>
      <w:divBdr>
        <w:top w:val="none" w:sz="0" w:space="0" w:color="auto"/>
        <w:left w:val="none" w:sz="0" w:space="0" w:color="auto"/>
        <w:bottom w:val="none" w:sz="0" w:space="0" w:color="auto"/>
        <w:right w:val="none" w:sz="0" w:space="0" w:color="auto"/>
      </w:divBdr>
    </w:div>
    <w:div w:id="524904047">
      <w:bodyDiv w:val="1"/>
      <w:marLeft w:val="0"/>
      <w:marRight w:val="0"/>
      <w:marTop w:val="0"/>
      <w:marBottom w:val="0"/>
      <w:divBdr>
        <w:top w:val="none" w:sz="0" w:space="0" w:color="auto"/>
        <w:left w:val="none" w:sz="0" w:space="0" w:color="auto"/>
        <w:bottom w:val="none" w:sz="0" w:space="0" w:color="auto"/>
        <w:right w:val="none" w:sz="0" w:space="0" w:color="auto"/>
      </w:divBdr>
    </w:div>
    <w:div w:id="1330871029">
      <w:bodyDiv w:val="1"/>
      <w:marLeft w:val="0"/>
      <w:marRight w:val="0"/>
      <w:marTop w:val="0"/>
      <w:marBottom w:val="0"/>
      <w:divBdr>
        <w:top w:val="none" w:sz="0" w:space="0" w:color="auto"/>
        <w:left w:val="none" w:sz="0" w:space="0" w:color="auto"/>
        <w:bottom w:val="none" w:sz="0" w:space="0" w:color="auto"/>
        <w:right w:val="none" w:sz="0" w:space="0" w:color="auto"/>
      </w:divBdr>
    </w:div>
    <w:div w:id="1762215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hyperlink" Target="https://www.whitehouse.gov/wp-content/uploads/legacy_drupal_files/omb/memoranda/2016/m-16-17.pdf"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hyperlink" Target="https://documents.pclob.gov/prod/Documents/OversightReport/d21d1c6b-6de3-4bc4-b018-6c9151a0497d/2023%20PCLOB%20702%20Report,%20508%20Completed,%20Dec%203,%202024.pdf" TargetMode="External"/><Relationship Id="rId68" Type="http://schemas.openxmlformats.org/officeDocument/2006/relationships/image" Target="media/image27.emf"/><Relationship Id="rId84" Type="http://schemas.openxmlformats.org/officeDocument/2006/relationships/image" Target="media/image36.emf"/><Relationship Id="rId89" Type="http://schemas.openxmlformats.org/officeDocument/2006/relationships/header" Target="header11.xml"/><Relationship Id="rId112" Type="http://schemas.openxmlformats.org/officeDocument/2006/relationships/image" Target="media/image51.emf"/><Relationship Id="rId16" Type="http://schemas.openxmlformats.org/officeDocument/2006/relationships/header" Target="header3.xml"/><Relationship Id="rId107" Type="http://schemas.openxmlformats.org/officeDocument/2006/relationships/header" Target="header17.xml"/><Relationship Id="rId11" Type="http://schemas.openxmlformats.org/officeDocument/2006/relationships/header" Target="header1.xml"/><Relationship Id="rId32" Type="http://schemas.openxmlformats.org/officeDocument/2006/relationships/hyperlink" Target="https://documents.pclob.gov/prod/DynamicImages/Generic/5de84dcc-2add-4525-bd95-72be3c388b8d/PPD28-Signals_Intelligence_Activities%20-%20Complete%20-%20Nov%208%202022%201052.pdf" TargetMode="External"/><Relationship Id="rId37" Type="http://schemas.openxmlformats.org/officeDocument/2006/relationships/header" Target="header6.xml"/><Relationship Id="rId53" Type="http://schemas.openxmlformats.org/officeDocument/2006/relationships/image" Target="media/image21.png"/><Relationship Id="rId58" Type="http://schemas.openxmlformats.org/officeDocument/2006/relationships/image" Target="media/image23.png"/><Relationship Id="rId74" Type="http://schemas.openxmlformats.org/officeDocument/2006/relationships/image" Target="media/image32.emf"/><Relationship Id="rId79" Type="http://schemas.openxmlformats.org/officeDocument/2006/relationships/hyperlink" Target="https://csrc.nist.gov/pubs/sp/800/207/final" TargetMode="External"/><Relationship Id="rId102" Type="http://schemas.openxmlformats.org/officeDocument/2006/relationships/image" Target="media/image46.emf"/><Relationship Id="rId123" Type="http://schemas.openxmlformats.org/officeDocument/2006/relationships/image" Target="media/image61.emf"/><Relationship Id="rId128" Type="http://schemas.openxmlformats.org/officeDocument/2006/relationships/header" Target="header21.xml"/><Relationship Id="rId5" Type="http://schemas.openxmlformats.org/officeDocument/2006/relationships/webSettings" Target="webSettings.xml"/><Relationship Id="rId90" Type="http://schemas.openxmlformats.org/officeDocument/2006/relationships/image" Target="media/image39.png"/><Relationship Id="rId95" Type="http://schemas.openxmlformats.org/officeDocument/2006/relationships/image" Target="media/image42.png"/><Relationship Id="rId22" Type="http://schemas.openxmlformats.org/officeDocument/2006/relationships/hyperlink" Target="https://www.whitehouse.gov/wp-content/uploads/2025/04/OMB-Circular-No.-A-136.pdf" TargetMode="External"/><Relationship Id="rId27" Type="http://schemas.openxmlformats.org/officeDocument/2006/relationships/header" Target="header5.xm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25.emf"/><Relationship Id="rId69" Type="http://schemas.openxmlformats.org/officeDocument/2006/relationships/image" Target="media/image28.jpeg"/><Relationship Id="rId113" Type="http://schemas.openxmlformats.org/officeDocument/2006/relationships/image" Target="media/image52.emf"/><Relationship Id="rId118" Type="http://schemas.openxmlformats.org/officeDocument/2006/relationships/image" Target="media/image57.emf"/><Relationship Id="rId80" Type="http://schemas.openxmlformats.org/officeDocument/2006/relationships/hyperlink" Target="https://www.cisa.gov/news-events/directives/bod-22-01-reducing-significant-risk-known-exploited-vulnerabilities" TargetMode="External"/><Relationship Id="rId85" Type="http://schemas.openxmlformats.org/officeDocument/2006/relationships/header" Target="header9.xml"/><Relationship Id="rId12" Type="http://schemas.openxmlformats.org/officeDocument/2006/relationships/image" Target="media/image2.png"/><Relationship Id="rId17" Type="http://schemas.openxmlformats.org/officeDocument/2006/relationships/header" Target="header4.xml"/><Relationship Id="rId33" Type="http://schemas.openxmlformats.org/officeDocument/2006/relationships/hyperlink" Target="https://www.govinfo.gov/content/pkg/FR-2022-10-14/pdf/2022-22531.pdf" TargetMode="External"/><Relationship Id="rId38" Type="http://schemas.openxmlformats.org/officeDocument/2006/relationships/image" Target="media/image8.png"/><Relationship Id="rId59" Type="http://schemas.openxmlformats.org/officeDocument/2006/relationships/hyperlink" Target="https://documents.pclob.gov/prod/Documents/OversightReport/94cd55e0-4df0-464d-b731-2b467c2f2fd8/PCLOB%20Terrorist%20Watchlist%20Report%20Unclassified%20-%20Completed%20508%20-%20Feb%205,%202025.pdf" TargetMode="External"/><Relationship Id="rId103" Type="http://schemas.openxmlformats.org/officeDocument/2006/relationships/header" Target="header15.xml"/><Relationship Id="rId108" Type="http://schemas.openxmlformats.org/officeDocument/2006/relationships/image" Target="media/image49.emf"/><Relationship Id="rId124" Type="http://schemas.openxmlformats.org/officeDocument/2006/relationships/header" Target="header19.xml"/><Relationship Id="rId129" Type="http://schemas.openxmlformats.org/officeDocument/2006/relationships/fontTable" Target="fontTable.xml"/><Relationship Id="rId54" Type="http://schemas.openxmlformats.org/officeDocument/2006/relationships/image" Target="media/image22.jpeg"/><Relationship Id="rId70" Type="http://schemas.openxmlformats.org/officeDocument/2006/relationships/hyperlink" Target="https://documents.pclob.gov/prod/Documents/OversightReport/90964138-44eb-483d-990e-057ce4c31db7/Use%20of%20FRT%20by%20TSA,%20PCLOB%20Report%20(5-12-25),%20Completed%20508,%20May%2019,%202025.pdf" TargetMode="External"/><Relationship Id="rId75" Type="http://schemas.openxmlformats.org/officeDocument/2006/relationships/image" Target="media/image33.jpeg"/><Relationship Id="rId91" Type="http://schemas.openxmlformats.org/officeDocument/2006/relationships/image" Target="media/image40.png"/><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pclob.gov/AgencyFinancialReports" TargetMode="External"/><Relationship Id="rId28" Type="http://schemas.openxmlformats.org/officeDocument/2006/relationships/hyperlink" Target="https://uscode.house.gov/view.xhtml?hl=false&amp;edition=prelim&amp;req=granuleid%3AUSC-prelim-title42-section2000ee&amp;num=0&amp;saved=%7CKHRpdGxlOjQyIHNlY3Rpb246MjAwMGVlLTEgZWRpdGlvbjpwcmVsaW0p%7C%7C%7C0%7Cfalse%7Cprelim" TargetMode="External"/><Relationship Id="rId49" Type="http://schemas.openxmlformats.org/officeDocument/2006/relationships/image" Target="media/image19.png"/><Relationship Id="rId114" Type="http://schemas.openxmlformats.org/officeDocument/2006/relationships/image" Target="media/image53.emf"/><Relationship Id="rId119" Type="http://schemas.openxmlformats.org/officeDocument/2006/relationships/image" Target="media/image58.emf"/><Relationship Id="rId44" Type="http://schemas.openxmlformats.org/officeDocument/2006/relationships/image" Target="media/image14.png"/><Relationship Id="rId60" Type="http://schemas.openxmlformats.org/officeDocument/2006/relationships/hyperlink" Target="https://documents.pclob.gov/prod/Documents/OversightReport/90964138-44eb-483d-990e-057ce4c31db7/Use%20of%20FRT%20by%20TSA,%20PCLOB%20Report%20(5-12-25),%20Completed%20508,%20May%2019,%202025.pdf" TargetMode="External"/><Relationship Id="rId65" Type="http://schemas.openxmlformats.org/officeDocument/2006/relationships/header" Target="header8.xml"/><Relationship Id="rId81" Type="http://schemas.openxmlformats.org/officeDocument/2006/relationships/hyperlink" Target="https://obamawhitehouse.archives.gov/the-press-office/2011/10/07/executive-order-13587-structural-reforms-improve-security-classified-net" TargetMode="External"/><Relationship Id="rId86" Type="http://schemas.openxmlformats.org/officeDocument/2006/relationships/image" Target="media/image37.png"/><Relationship Id="rId130" Type="http://schemas.openxmlformats.org/officeDocument/2006/relationships/theme" Target="theme/theme1.xml"/><Relationship Id="rId13" Type="http://schemas.openxmlformats.org/officeDocument/2006/relationships/image" Target="media/image3.jpg"/><Relationship Id="rId18" Type="http://schemas.openxmlformats.org/officeDocument/2006/relationships/footer" Target="footer2.xml"/><Relationship Id="rId39" Type="http://schemas.openxmlformats.org/officeDocument/2006/relationships/image" Target="media/image9.png"/><Relationship Id="rId109" Type="http://schemas.openxmlformats.org/officeDocument/2006/relationships/header" Target="header18.xml"/><Relationship Id="rId34" Type="http://schemas.openxmlformats.org/officeDocument/2006/relationships/hyperlink" Target="https://www.congress.gov/110/plaws/publ53/PLAW-110publ53.pdf" TargetMode="External"/><Relationship Id="rId50" Type="http://schemas.openxmlformats.org/officeDocument/2006/relationships/header" Target="header7.xml"/><Relationship Id="rId55" Type="http://schemas.openxmlformats.org/officeDocument/2006/relationships/hyperlink" Target="https://documents.pclob.gov/prod/Documents/OversightReport/4ce093a4-d28d-4996-a35b-c11d18e19018/PCLOB%20FY2024%20NCTC%20REPORT%20-%20Completed%20508%20-%20Dec%2017%202024.pdf" TargetMode="External"/><Relationship Id="rId76" Type="http://schemas.openxmlformats.org/officeDocument/2006/relationships/hyperlink" Target="https://www.agacgfm.org/get-involved/awards-scholarships-recognition/cear-program/" TargetMode="External"/><Relationship Id="rId97" Type="http://schemas.openxmlformats.org/officeDocument/2006/relationships/image" Target="media/image43.jpeg"/><Relationship Id="rId104" Type="http://schemas.openxmlformats.org/officeDocument/2006/relationships/image" Target="media/image47.emf"/><Relationship Id="rId120" Type="http://schemas.openxmlformats.org/officeDocument/2006/relationships/image" Target="media/image59.emf"/><Relationship Id="rId125" Type="http://schemas.openxmlformats.org/officeDocument/2006/relationships/hyperlink" Target="https://paymentaccuracy.gov" TargetMode="External"/><Relationship Id="rId7" Type="http://schemas.openxmlformats.org/officeDocument/2006/relationships/endnotes" Target="endnotes.xml"/><Relationship Id="rId71" Type="http://schemas.openxmlformats.org/officeDocument/2006/relationships/image" Target="media/image29.emf"/><Relationship Id="rId92" Type="http://schemas.openxmlformats.org/officeDocument/2006/relationships/hyperlink" Target="https://www.congress.gov/113/plaws/publ101/PLAW-113publ101.pdf" TargetMode="External"/><Relationship Id="rId2" Type="http://schemas.openxmlformats.org/officeDocument/2006/relationships/numbering" Target="numbering.xml"/><Relationship Id="rId29" Type="http://schemas.openxmlformats.org/officeDocument/2006/relationships/hyperlink" Target="https://uscode.house.gov/view.xhtml?req=(title:6%20section:485%20edition:prelim)%20OR%20(granuleid:USC-prelim-title6-section485)&amp;f=treesort&amp;num=0&amp;edition=prelim" TargetMode="External"/><Relationship Id="rId24" Type="http://schemas.openxmlformats.org/officeDocument/2006/relationships/image" Target="media/image5.png"/><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26.png"/><Relationship Id="rId87" Type="http://schemas.openxmlformats.org/officeDocument/2006/relationships/header" Target="header10.xml"/><Relationship Id="rId110" Type="http://schemas.openxmlformats.org/officeDocument/2006/relationships/image" Target="media/image50.png"/><Relationship Id="rId115" Type="http://schemas.openxmlformats.org/officeDocument/2006/relationships/image" Target="media/image54.emf"/><Relationship Id="rId61" Type="http://schemas.openxmlformats.org/officeDocument/2006/relationships/image" Target="media/image24.png"/><Relationship Id="rId82" Type="http://schemas.openxmlformats.org/officeDocument/2006/relationships/image" Target="media/image34.emf"/><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hyperlink" Target="https://govinfo.library.unt.edu/911/report/911Report.pdf" TargetMode="External"/><Relationship Id="rId35" Type="http://schemas.openxmlformats.org/officeDocument/2006/relationships/hyperlink" Target="https://www.pclob.gov/Board/Index" TargetMode="External"/><Relationship Id="rId56" Type="http://schemas.openxmlformats.org/officeDocument/2006/relationships/hyperlink" Target="https://documents.pclob.gov/prod/Documents/OversightReport/2810538d-331d-4316-af48-435aa88a631b/PCLOB%20Assessment%20and%20Recommendations%201.17.25%20-%20Completed%20508%20-%20Feb%206%202025.pdf" TargetMode="External"/><Relationship Id="rId77" Type="http://schemas.openxmlformats.org/officeDocument/2006/relationships/hyperlink" Target="https://www.cisa.gov/news-events/directives/ed-25-03-identify-and-mitigate-potential-compromise-cisco-devices" TargetMode="External"/><Relationship Id="rId100" Type="http://schemas.openxmlformats.org/officeDocument/2006/relationships/image" Target="media/image45.jpeg"/><Relationship Id="rId105" Type="http://schemas.openxmlformats.org/officeDocument/2006/relationships/header" Target="header16.xml"/><Relationship Id="rId126" Type="http://schemas.openxmlformats.org/officeDocument/2006/relationships/hyperlink" Target="https://www.congress.gov/114/plaws/publ186/PLAW-114publ186.pdf" TargetMode="External"/><Relationship Id="rId8" Type="http://schemas.openxmlformats.org/officeDocument/2006/relationships/image" Target="media/image1.png"/><Relationship Id="rId51" Type="http://schemas.openxmlformats.org/officeDocument/2006/relationships/hyperlink" Target="https://documents.pclob.gov/prod/Documents/StrategicPlans/14/PCLOB%20Strategic%20Plan_2022-2026-5.25.2022-FINAL%20BOARD%20APPROVED-07142022-Completed%20508.pdf" TargetMode="External"/><Relationship Id="rId72" Type="http://schemas.openxmlformats.org/officeDocument/2006/relationships/image" Target="media/image30.png"/><Relationship Id="rId93" Type="http://schemas.openxmlformats.org/officeDocument/2006/relationships/hyperlink" Target="https://www.usaspending.gov/" TargetMode="External"/><Relationship Id="rId98" Type="http://schemas.openxmlformats.org/officeDocument/2006/relationships/header" Target="header13.xml"/><Relationship Id="rId121" Type="http://schemas.openxmlformats.org/officeDocument/2006/relationships/image" Target="media/image60.emf"/><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16.png"/><Relationship Id="rId67" Type="http://schemas.openxmlformats.org/officeDocument/2006/relationships/hyperlink" Target="https://www.pclob.gov/Section803" TargetMode="External"/><Relationship Id="rId116" Type="http://schemas.openxmlformats.org/officeDocument/2006/relationships/image" Target="media/image55.emf"/><Relationship Id="rId20" Type="http://schemas.openxmlformats.org/officeDocument/2006/relationships/hyperlink" Target="https://www.whitehouse.gov/wp-content/uploads/2025/08/a11.pdf" TargetMode="External"/><Relationship Id="rId41" Type="http://schemas.openxmlformats.org/officeDocument/2006/relationships/image" Target="media/image11.png"/><Relationship Id="rId62" Type="http://schemas.openxmlformats.org/officeDocument/2006/relationships/hyperlink" Target="https://documents.pclob.gov/prod/Documents/OversightReport/b986a1dc-1e65-431d-bd05-aec4fba89a1f/PCLOB%20Review%20Of%20Policies%20and%20Procedures%20US%20Signals%20Intelligence%20Activites%20-%20Completed%20508%20-%20September%2029,%202025.pdf" TargetMode="External"/><Relationship Id="rId83" Type="http://schemas.openxmlformats.org/officeDocument/2006/relationships/image" Target="media/image35.emf"/><Relationship Id="rId88" Type="http://schemas.openxmlformats.org/officeDocument/2006/relationships/image" Target="media/image38.jpeg"/><Relationship Id="rId111" Type="http://schemas.openxmlformats.org/officeDocument/2006/relationships/hyperlink" Target="https://www.govinfo.gov/content/pkg/PLAW-107publ289/pdf/PLAW-107publ289.pdf" TargetMode="External"/><Relationship Id="rId15" Type="http://schemas.openxmlformats.org/officeDocument/2006/relationships/footer" Target="footer1.xml"/><Relationship Id="rId36" Type="http://schemas.openxmlformats.org/officeDocument/2006/relationships/hyperlink" Target="https://documents.pclob.gov/prod/DynamicImages/Generic/59b039ee-73ef-44fc-a80d-862d10a2ca84/102-01~1.PDF" TargetMode="External"/><Relationship Id="rId57" Type="http://schemas.openxmlformats.org/officeDocument/2006/relationships/hyperlink" Target="https://documents.pclob.gov/prod/Documents/OversightReport/700ade65-8b09-4334-9099-caaa0afa361a/20250430%20Staff%20Addendum%20to%20Foreign%20RMVE%20Report%20(edited%208-5)%20-%20Aug%205,%202025%20-%20508%20Complete.pdf" TargetMode="External"/><Relationship Id="rId106" Type="http://schemas.openxmlformats.org/officeDocument/2006/relationships/image" Target="media/image48.emf"/><Relationship Id="rId127" Type="http://schemas.openxmlformats.org/officeDocument/2006/relationships/header" Target="header20.xml"/><Relationship Id="rId10" Type="http://schemas.openxmlformats.org/officeDocument/2006/relationships/hyperlink" Target="mailto:info@pclob.gov" TargetMode="External"/><Relationship Id="rId31" Type="http://schemas.openxmlformats.org/officeDocument/2006/relationships/hyperlink" Target="https://www.govinfo.gov/content/pkg/FR-2013-02-19/pdf/2013-03915.pdf" TargetMode="External"/><Relationship Id="rId52" Type="http://schemas.openxmlformats.org/officeDocument/2006/relationships/image" Target="media/image20.png"/><Relationship Id="rId73" Type="http://schemas.openxmlformats.org/officeDocument/2006/relationships/image" Target="media/image31.jpg"/><Relationship Id="rId78" Type="http://schemas.openxmlformats.org/officeDocument/2006/relationships/hyperlink" Target="https://www.whitehouse.gov/wp-content/uploads/2024/07/FY26-Cybersecurity-Priorities-Memo_Signed.pdf" TargetMode="External"/><Relationship Id="rId94" Type="http://schemas.openxmlformats.org/officeDocument/2006/relationships/image" Target="media/image41.png"/><Relationship Id="rId99" Type="http://schemas.openxmlformats.org/officeDocument/2006/relationships/image" Target="media/image44.png"/><Relationship Id="rId101" Type="http://schemas.openxmlformats.org/officeDocument/2006/relationships/header" Target="header14.xml"/><Relationship Id="rId122" Type="http://schemas.openxmlformats.org/officeDocument/2006/relationships/hyperlink" Target="https://www.whitehouse.gov/omb/information-resources/budget/" TargetMode="External"/><Relationship Id="rId4" Type="http://schemas.openxmlformats.org/officeDocument/2006/relationships/settings" Target="settings.xml"/><Relationship Id="rId9" Type="http://schemas.openxmlformats.org/officeDocument/2006/relationships/hyperlink" Target="https://www.pclob.gov/FinancialReports" TargetMode="External"/><Relationship Id="rId26" Type="http://schemas.openxmlformats.org/officeDocument/2006/relationships/image" Target="media/image7.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25AEE-F048-4582-8571-6924AA36C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88</Pages>
  <Words>21016</Words>
  <Characters>119796</Characters>
  <Application>Microsoft Office Word</Application>
  <DocSecurity>0</DocSecurity>
  <Lines>998</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 Brooke</dc:creator>
  <cp:keywords/>
  <dc:description/>
  <cp:lastModifiedBy>Pam Brooke</cp:lastModifiedBy>
  <cp:revision>3</cp:revision>
  <cp:lastPrinted>2025-11-13T20:02:00Z</cp:lastPrinted>
  <dcterms:created xsi:type="dcterms:W3CDTF">2025-11-14T13:59:00Z</dcterms:created>
  <dcterms:modified xsi:type="dcterms:W3CDTF">2025-11-14T14:38:00Z</dcterms:modified>
</cp:coreProperties>
</file>